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66" w:rsidRDefault="008A1E94">
      <w:r>
        <w:rPr>
          <w:rFonts w:hint="eastAsia"/>
        </w:rPr>
        <w:t>調査結果</w:t>
      </w:r>
    </w:p>
    <w:p w:rsidR="008A1E94" w:rsidRDefault="008A1E94"/>
    <w:p w:rsidR="008A1E94" w:rsidRDefault="008A1E94" w:rsidP="008A1E94">
      <w:pPr>
        <w:pStyle w:val="a3"/>
        <w:numPr>
          <w:ilvl w:val="1"/>
          <w:numId w:val="1"/>
        </w:numPr>
        <w:ind w:leftChars="0"/>
      </w:pPr>
      <w:r>
        <w:rPr>
          <w:rFonts w:hint="eastAsia"/>
        </w:rPr>
        <w:t xml:space="preserve">　ピエゾメータ設置による地下水位の観測</w:t>
      </w:r>
    </w:p>
    <w:p w:rsidR="008A1E94" w:rsidRDefault="008A1E94" w:rsidP="008A1E94">
      <w:pPr>
        <w:pStyle w:val="a3"/>
        <w:ind w:leftChars="171" w:left="359" w:firstLineChars="100" w:firstLine="210"/>
      </w:pPr>
      <w:r>
        <w:rPr>
          <w:rFonts w:hint="eastAsia"/>
        </w:rPr>
        <w:t>2010</w:t>
      </w:r>
      <w:r>
        <w:rPr>
          <w:rFonts w:hint="eastAsia"/>
        </w:rPr>
        <w:t>年</w:t>
      </w:r>
      <w:r>
        <w:rPr>
          <w:rFonts w:hint="eastAsia"/>
        </w:rPr>
        <w:t>6</w:t>
      </w:r>
      <w:r>
        <w:rPr>
          <w:rFonts w:hint="eastAsia"/>
        </w:rPr>
        <w:t>月から、サイト内の</w:t>
      </w:r>
      <w:r>
        <w:rPr>
          <w:rFonts w:hint="eastAsia"/>
        </w:rPr>
        <w:t>11</w:t>
      </w:r>
      <w:r>
        <w:rPr>
          <w:rFonts w:hint="eastAsia"/>
        </w:rPr>
        <w:t>カ所にピエゾメータを設置し</w:t>
      </w:r>
      <w:r>
        <w:rPr>
          <w:rFonts w:hint="eastAsia"/>
        </w:rPr>
        <w:t>(</w:t>
      </w:r>
      <w:r>
        <w:rPr>
          <w:rFonts w:hint="eastAsia"/>
        </w:rPr>
        <w:t>図</w:t>
      </w:r>
      <w:r w:rsidR="00510878">
        <w:rPr>
          <w:rFonts w:hint="eastAsia"/>
        </w:rPr>
        <w:t>1</w:t>
      </w:r>
      <w:r>
        <w:rPr>
          <w:rFonts w:hint="eastAsia"/>
        </w:rPr>
        <w:t>)</w:t>
      </w:r>
      <w:r>
        <w:rPr>
          <w:rFonts w:hint="eastAsia"/>
        </w:rPr>
        <w:t>、深度</w:t>
      </w:r>
      <w:r>
        <w:rPr>
          <w:rFonts w:hint="eastAsia"/>
        </w:rPr>
        <w:t>1m</w:t>
      </w:r>
      <w:r>
        <w:rPr>
          <w:rFonts w:hint="eastAsia"/>
        </w:rPr>
        <w:t>、</w:t>
      </w:r>
      <w:r>
        <w:rPr>
          <w:rFonts w:hint="eastAsia"/>
        </w:rPr>
        <w:t>2m</w:t>
      </w:r>
      <w:r>
        <w:rPr>
          <w:rFonts w:hint="eastAsia"/>
        </w:rPr>
        <w:t>、</w:t>
      </w:r>
      <w:r>
        <w:rPr>
          <w:rFonts w:hint="eastAsia"/>
        </w:rPr>
        <w:t>3m</w:t>
      </w:r>
      <w:r>
        <w:rPr>
          <w:rFonts w:hint="eastAsia"/>
        </w:rPr>
        <w:t>地点における地下水位を観測している。この地下水位を用いて水理水頭を計算した（図</w:t>
      </w:r>
      <w:r w:rsidR="00510878">
        <w:rPr>
          <w:rFonts w:hint="eastAsia"/>
        </w:rPr>
        <w:t>2,3</w:t>
      </w:r>
      <w:r>
        <w:rPr>
          <w:rFonts w:hint="eastAsia"/>
        </w:rPr>
        <w:t>）。得られた水理水頭から、</w:t>
      </w:r>
      <w:r>
        <w:rPr>
          <w:rFonts w:hint="eastAsia"/>
        </w:rPr>
        <w:t>S4-R2-S14</w:t>
      </w:r>
      <w:r>
        <w:rPr>
          <w:rFonts w:hint="eastAsia"/>
        </w:rPr>
        <w:t>断面における湿地域では地下水が地下深部から浅部に向かって上向きに流れていることが推定できた</w:t>
      </w:r>
      <w:r>
        <w:rPr>
          <w:rFonts w:hint="eastAsia"/>
        </w:rPr>
        <w:t>(</w:t>
      </w:r>
      <w:r>
        <w:rPr>
          <w:rFonts w:hint="eastAsia"/>
        </w:rPr>
        <w:t>図</w:t>
      </w:r>
      <w:r w:rsidR="00510878">
        <w:rPr>
          <w:rFonts w:hint="eastAsia"/>
        </w:rPr>
        <w:t>4</w:t>
      </w:r>
      <w:r>
        <w:rPr>
          <w:rFonts w:hint="eastAsia"/>
        </w:rPr>
        <w:t>)</w:t>
      </w:r>
      <w:r>
        <w:rPr>
          <w:rFonts w:hint="eastAsia"/>
        </w:rPr>
        <w:t>。</w:t>
      </w:r>
    </w:p>
    <w:p w:rsidR="008A1E94" w:rsidRDefault="008A1E94" w:rsidP="008A1E94">
      <w:pPr>
        <w:pStyle w:val="a3"/>
        <w:ind w:leftChars="0" w:left="360"/>
      </w:pPr>
      <w:r>
        <w:rPr>
          <w:noProof/>
        </w:rPr>
        <w:drawing>
          <wp:anchor distT="0" distB="0" distL="114300" distR="114300" simplePos="0" relativeHeight="251663360" behindDoc="1" locked="0" layoutInCell="1" allowOverlap="1">
            <wp:simplePos x="0" y="0"/>
            <wp:positionH relativeFrom="column">
              <wp:posOffset>226695</wp:posOffset>
            </wp:positionH>
            <wp:positionV relativeFrom="paragraph">
              <wp:posOffset>114300</wp:posOffset>
            </wp:positionV>
            <wp:extent cx="2597785" cy="3074670"/>
            <wp:effectExtent l="0" t="0" r="0" b="0"/>
            <wp:wrapSquare wrapText="bothSides"/>
            <wp:docPr id="25" name="図 25" descr="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ぴ"/>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785" cy="3074670"/>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2931160</wp:posOffset>
            </wp:positionH>
            <wp:positionV relativeFrom="paragraph">
              <wp:posOffset>114300</wp:posOffset>
            </wp:positionV>
            <wp:extent cx="1613535" cy="1218565"/>
            <wp:effectExtent l="0" t="0" r="5715" b="635"/>
            <wp:wrapTight wrapText="bothSides">
              <wp:wrapPolygon edited="0">
                <wp:start x="0" y="0"/>
                <wp:lineTo x="0" y="21274"/>
                <wp:lineTo x="21421" y="21274"/>
                <wp:lineTo x="21421" y="0"/>
                <wp:lineTo x="0" y="0"/>
              </wp:wrapPolygon>
            </wp:wrapTight>
            <wp:docPr id="10" name="図 10" descr="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ぴ"/>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3535" cy="1218565"/>
                    </a:xfrm>
                    <a:prstGeom prst="rect">
                      <a:avLst/>
                    </a:prstGeom>
                    <a:noFill/>
                  </pic:spPr>
                </pic:pic>
              </a:graphicData>
            </a:graphic>
          </wp:anchor>
        </w:drawing>
      </w:r>
    </w:p>
    <w:p w:rsidR="008A1E94" w:rsidRDefault="008A1E94" w:rsidP="008A1E94">
      <w:pPr>
        <w:pStyle w:val="a3"/>
        <w:ind w:leftChars="0" w:left="360"/>
      </w:pPr>
    </w:p>
    <w:p w:rsidR="008A1E94" w:rsidRDefault="008A1E94" w:rsidP="008A1E94">
      <w:pPr>
        <w:pStyle w:val="a3"/>
        <w:ind w:leftChars="0" w:left="360"/>
      </w:pPr>
    </w:p>
    <w:p w:rsidR="008A1E94" w:rsidRDefault="008A1E94" w:rsidP="008A1E94">
      <w:pPr>
        <w:pStyle w:val="a3"/>
        <w:ind w:leftChars="0" w:left="360"/>
      </w:pPr>
    </w:p>
    <w:p w:rsidR="008A1E94" w:rsidRDefault="008A1E94" w:rsidP="008A1E94">
      <w:pPr>
        <w:pStyle w:val="a3"/>
        <w:ind w:leftChars="0" w:left="360"/>
      </w:pPr>
    </w:p>
    <w:p w:rsidR="008A1E94" w:rsidRDefault="008A1E94" w:rsidP="008A1E94">
      <w:pPr>
        <w:pStyle w:val="a3"/>
        <w:ind w:leftChars="0" w:left="360"/>
      </w:pPr>
      <w:r>
        <w:rPr>
          <w:noProof/>
        </w:rPr>
        <w:drawing>
          <wp:anchor distT="0" distB="0" distL="114300" distR="114300" simplePos="0" relativeHeight="251664384" behindDoc="1" locked="0" layoutInCell="1" allowOverlap="1">
            <wp:simplePos x="0" y="0"/>
            <wp:positionH relativeFrom="column">
              <wp:posOffset>-1727835</wp:posOffset>
            </wp:positionH>
            <wp:positionV relativeFrom="paragraph">
              <wp:posOffset>561340</wp:posOffset>
            </wp:positionV>
            <wp:extent cx="2562860" cy="1484630"/>
            <wp:effectExtent l="0" t="0" r="8890" b="1270"/>
            <wp:wrapTight wrapText="bothSides">
              <wp:wrapPolygon edited="0">
                <wp:start x="0" y="0"/>
                <wp:lineTo x="0" y="21341"/>
                <wp:lineTo x="21514" y="21341"/>
                <wp:lineTo x="21514" y="0"/>
                <wp:lineTo x="0" y="0"/>
              </wp:wrapPolygon>
            </wp:wrapTight>
            <wp:docPr id="26" name="図 26" descr="A-A'断面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A'断面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860" cy="1484630"/>
                    </a:xfrm>
                    <a:prstGeom prst="rect">
                      <a:avLst/>
                    </a:prstGeom>
                    <a:noFill/>
                  </pic:spPr>
                </pic:pic>
              </a:graphicData>
            </a:graphic>
          </wp:anchor>
        </w:drawing>
      </w:r>
    </w:p>
    <w:p w:rsidR="008A1E94" w:rsidRDefault="008A1E94" w:rsidP="008A1E94">
      <w:pPr>
        <w:pStyle w:val="a3"/>
        <w:ind w:leftChars="0" w:left="360"/>
      </w:pPr>
      <w:r>
        <w:rPr>
          <w:rFonts w:hint="eastAsia"/>
        </w:rPr>
        <w:t>図</w:t>
      </w:r>
      <w:r w:rsidR="00510878">
        <w:rPr>
          <w:rFonts w:hint="eastAsia"/>
        </w:rPr>
        <w:t>2</w:t>
      </w:r>
      <w:r>
        <w:rPr>
          <w:rFonts w:hint="eastAsia"/>
        </w:rPr>
        <w:t xml:space="preserve">　ピエゾメータ模式図</w:t>
      </w:r>
    </w:p>
    <w:p w:rsidR="008A1E94" w:rsidRDefault="008A1E94" w:rsidP="008A1E94">
      <w:pPr>
        <w:pStyle w:val="a3"/>
        <w:ind w:leftChars="0" w:left="360"/>
      </w:pPr>
      <w:r>
        <w:t>図</w:t>
      </w:r>
      <w:r w:rsidR="00510878">
        <w:rPr>
          <w:rFonts w:hint="eastAsia"/>
        </w:rPr>
        <w:t>1</w:t>
      </w:r>
      <w:r>
        <w:t xml:space="preserve">　ピエゾメータ設置箇所</w:t>
      </w:r>
      <w:r>
        <w:rPr>
          <w:rFonts w:hint="eastAsia"/>
        </w:rPr>
        <w:t xml:space="preserve">　　　　　　　図</w:t>
      </w:r>
      <w:r w:rsidR="00510878">
        <w:rPr>
          <w:rFonts w:hint="eastAsia"/>
        </w:rPr>
        <w:t>3</w:t>
      </w:r>
      <w:r>
        <w:rPr>
          <w:rFonts w:hint="eastAsia"/>
        </w:rPr>
        <w:t xml:space="preserve">　断面図</w:t>
      </w:r>
      <w:r>
        <w:rPr>
          <w:noProof/>
        </w:rPr>
        <w:drawing>
          <wp:anchor distT="0" distB="0" distL="114300" distR="114300" simplePos="0" relativeHeight="251660288" behindDoc="1" locked="0" layoutInCell="1" allowOverlap="1">
            <wp:simplePos x="0" y="0"/>
            <wp:positionH relativeFrom="column">
              <wp:posOffset>228600</wp:posOffset>
            </wp:positionH>
            <wp:positionV relativeFrom="paragraph">
              <wp:posOffset>202565</wp:posOffset>
            </wp:positionV>
            <wp:extent cx="2617470" cy="1604010"/>
            <wp:effectExtent l="0" t="0" r="0" b="0"/>
            <wp:wrapTight wrapText="bothSides">
              <wp:wrapPolygon edited="0">
                <wp:start x="0" y="0"/>
                <wp:lineTo x="0" y="21292"/>
                <wp:lineTo x="21380" y="21292"/>
                <wp:lineTo x="21380" y="0"/>
                <wp:lineTo x="0" y="0"/>
              </wp:wrapPolygon>
            </wp:wrapTight>
            <wp:docPr id="11" name="図 11" descr="全水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全水頭"/>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7470" cy="1604010"/>
                    </a:xfrm>
                    <a:prstGeom prst="rect">
                      <a:avLst/>
                    </a:prstGeom>
                    <a:noFill/>
                  </pic:spPr>
                </pic:pic>
              </a:graphicData>
            </a:graphic>
          </wp:anchor>
        </w:drawing>
      </w:r>
    </w:p>
    <w:p w:rsidR="008A1E94" w:rsidRDefault="008A1E94" w:rsidP="008A1E94">
      <w:pPr>
        <w:pStyle w:val="a3"/>
        <w:ind w:leftChars="0" w:left="360"/>
      </w:pPr>
      <w:r>
        <w:rPr>
          <w:rFonts w:hint="eastAsia"/>
        </w:rPr>
        <w:t xml:space="preserve">　　　　　　　　　　　　　　　　　　　　　　　</w:t>
      </w:r>
    </w:p>
    <w:p w:rsidR="008A1E94" w:rsidRPr="0033382B" w:rsidRDefault="008A1E94" w:rsidP="008A1E94">
      <w:pPr>
        <w:ind w:firstLineChars="100" w:firstLine="210"/>
      </w:pPr>
    </w:p>
    <w:p w:rsidR="008A1E94" w:rsidRDefault="008A1E94" w:rsidP="008A1E94">
      <w:pPr>
        <w:ind w:firstLineChars="100" w:firstLine="210"/>
      </w:pPr>
    </w:p>
    <w:p w:rsidR="008A1E94" w:rsidRDefault="008A1E94" w:rsidP="008A1E94">
      <w:pPr>
        <w:ind w:firstLineChars="100" w:firstLine="210"/>
      </w:pPr>
    </w:p>
    <w:p w:rsidR="008A1E94" w:rsidRDefault="008A1E94" w:rsidP="008A1E94">
      <w:pPr>
        <w:ind w:firstLineChars="100" w:firstLine="210"/>
      </w:pPr>
    </w:p>
    <w:p w:rsidR="008A1E94" w:rsidRDefault="008A1E94" w:rsidP="008A1E94">
      <w:pPr>
        <w:ind w:firstLineChars="100" w:firstLine="210"/>
      </w:pPr>
    </w:p>
    <w:p w:rsidR="008A1E94" w:rsidRDefault="008A1E94" w:rsidP="008A1E94">
      <w:pPr>
        <w:ind w:firstLineChars="100" w:firstLine="210"/>
      </w:pPr>
    </w:p>
    <w:p w:rsidR="008A1E94" w:rsidRDefault="008A1E94" w:rsidP="008A1E94">
      <w:pPr>
        <w:ind w:firstLineChars="200" w:firstLine="420"/>
      </w:pPr>
      <w:r>
        <w:rPr>
          <w:rFonts w:hint="eastAsia"/>
        </w:rPr>
        <w:t>図</w:t>
      </w:r>
      <w:r w:rsidR="00510878">
        <w:rPr>
          <w:rFonts w:hint="eastAsia"/>
        </w:rPr>
        <w:t>4</w:t>
      </w:r>
      <w:r>
        <w:rPr>
          <w:rFonts w:hint="eastAsia"/>
        </w:rPr>
        <w:t xml:space="preserve">　水理水頭</w:t>
      </w:r>
    </w:p>
    <w:p w:rsidR="008A1E94" w:rsidRPr="0033382B" w:rsidRDefault="008A1E94" w:rsidP="008A1E94">
      <w:pPr>
        <w:ind w:firstLineChars="100" w:firstLine="210"/>
      </w:pPr>
    </w:p>
    <w:p w:rsidR="008A1E94" w:rsidRDefault="008A1E94" w:rsidP="008A1E94">
      <w:pPr>
        <w:pStyle w:val="a3"/>
        <w:numPr>
          <w:ilvl w:val="1"/>
          <w:numId w:val="1"/>
        </w:numPr>
        <w:ind w:leftChars="0"/>
      </w:pPr>
      <w:r>
        <w:rPr>
          <w:rFonts w:hint="eastAsia"/>
        </w:rPr>
        <w:t>地下水及び湧水の</w:t>
      </w:r>
      <w:r>
        <w:rPr>
          <w:rFonts w:hint="eastAsia"/>
        </w:rPr>
        <w:t>NO</w:t>
      </w:r>
      <w:r w:rsidRPr="00346780">
        <w:rPr>
          <w:rFonts w:hint="eastAsia"/>
          <w:vertAlign w:val="subscript"/>
        </w:rPr>
        <w:t>3</w:t>
      </w:r>
      <w:r>
        <w:rPr>
          <w:rFonts w:hint="eastAsia"/>
        </w:rPr>
        <w:t>-N</w:t>
      </w:r>
      <w:r>
        <w:rPr>
          <w:rFonts w:hint="eastAsia"/>
        </w:rPr>
        <w:t>濃度の測定</w:t>
      </w:r>
    </w:p>
    <w:p w:rsidR="008A1E94" w:rsidRDefault="008A1E94" w:rsidP="008A1E94">
      <w:pPr>
        <w:ind w:leftChars="200" w:left="420" w:firstLineChars="100" w:firstLine="210"/>
      </w:pPr>
      <w:r>
        <w:rPr>
          <w:rFonts w:hint="eastAsia"/>
        </w:rPr>
        <w:t>2010</w:t>
      </w:r>
      <w:r>
        <w:rPr>
          <w:rFonts w:hint="eastAsia"/>
        </w:rPr>
        <w:t>年</w:t>
      </w:r>
      <w:r>
        <w:rPr>
          <w:rFonts w:hint="eastAsia"/>
        </w:rPr>
        <w:t>6</w:t>
      </w:r>
      <w:r>
        <w:rPr>
          <w:rFonts w:hint="eastAsia"/>
        </w:rPr>
        <w:t>月</w:t>
      </w:r>
      <w:r>
        <w:rPr>
          <w:rFonts w:hint="eastAsia"/>
        </w:rPr>
        <w:t>25</w:t>
      </w:r>
      <w:r>
        <w:rPr>
          <w:rFonts w:hint="eastAsia"/>
        </w:rPr>
        <w:t>日の結果を示す（図</w:t>
      </w:r>
      <w:r w:rsidR="00510878">
        <w:rPr>
          <w:rFonts w:hint="eastAsia"/>
        </w:rPr>
        <w:t>5</w:t>
      </w:r>
      <w:r>
        <w:rPr>
          <w:rFonts w:hint="eastAsia"/>
        </w:rPr>
        <w:t>）。地下水中の</w:t>
      </w:r>
      <w:r>
        <w:rPr>
          <w:rFonts w:hint="eastAsia"/>
        </w:rPr>
        <w:t>NO</w:t>
      </w:r>
      <w:r w:rsidRPr="00346780">
        <w:rPr>
          <w:rFonts w:hint="eastAsia"/>
          <w:vertAlign w:val="subscript"/>
        </w:rPr>
        <w:t>3</w:t>
      </w:r>
      <w:r>
        <w:rPr>
          <w:rFonts w:hint="eastAsia"/>
        </w:rPr>
        <w:t>-N</w:t>
      </w:r>
      <w:r>
        <w:rPr>
          <w:rFonts w:hint="eastAsia"/>
        </w:rPr>
        <w:t>濃度は、地下深部から浅部に向かって減少する傾向がみられ、</w:t>
      </w:r>
      <w:r>
        <w:rPr>
          <w:rFonts w:hint="eastAsia"/>
        </w:rPr>
        <w:t>R2</w:t>
      </w:r>
      <w:r>
        <w:rPr>
          <w:rFonts w:hint="eastAsia"/>
        </w:rPr>
        <w:t>地点ではすべての深度において</w:t>
      </w:r>
      <w:r>
        <w:rPr>
          <w:rFonts w:hint="eastAsia"/>
        </w:rPr>
        <w:t>NO</w:t>
      </w:r>
      <w:r w:rsidRPr="00346780">
        <w:rPr>
          <w:rFonts w:hint="eastAsia"/>
          <w:vertAlign w:val="subscript"/>
        </w:rPr>
        <w:t>3</w:t>
      </w:r>
      <w:r>
        <w:rPr>
          <w:rFonts w:hint="eastAsia"/>
        </w:rPr>
        <w:t>-N</w:t>
      </w:r>
      <w:r>
        <w:rPr>
          <w:rFonts w:hint="eastAsia"/>
        </w:rPr>
        <w:t>は検出されなかった。特に、</w:t>
      </w:r>
      <w:r>
        <w:rPr>
          <w:rFonts w:hint="eastAsia"/>
        </w:rPr>
        <w:t>S14</w:t>
      </w:r>
      <w:r>
        <w:rPr>
          <w:rFonts w:hint="eastAsia"/>
        </w:rPr>
        <w:t>においては、深度</w:t>
      </w:r>
      <w:r>
        <w:rPr>
          <w:rFonts w:hint="eastAsia"/>
        </w:rPr>
        <w:t>3m</w:t>
      </w:r>
      <w:r>
        <w:rPr>
          <w:rFonts w:hint="eastAsia"/>
        </w:rPr>
        <w:t>では</w:t>
      </w:r>
      <w:r>
        <w:rPr>
          <w:rFonts w:hint="eastAsia"/>
        </w:rPr>
        <w:t>114mg/L</w:t>
      </w:r>
      <w:r>
        <w:rPr>
          <w:rFonts w:hint="eastAsia"/>
        </w:rPr>
        <w:t>と極めて高濃度であるものの、地下水が上向きに流れるに伴い濃度が激減することが考えられる。一方、</w:t>
      </w:r>
      <w:r>
        <w:rPr>
          <w:rFonts w:hint="eastAsia"/>
        </w:rPr>
        <w:lastRenderedPageBreak/>
        <w:t>S4</w:t>
      </w:r>
      <w:r>
        <w:rPr>
          <w:rFonts w:hint="eastAsia"/>
        </w:rPr>
        <w:t>では深度による濃度の違いはあまり見られない。このことから、湿地土壌においては窒素の自然浄化機能が強く働いている場所と、それほど働いていない場所がそれぞれ存在することがわかった。</w:t>
      </w:r>
    </w:p>
    <w:p w:rsidR="008A1E94" w:rsidRDefault="008A1E94" w:rsidP="008A1E94">
      <w:pPr>
        <w:ind w:firstLineChars="100" w:firstLine="210"/>
        <w:jc w:val="center"/>
      </w:pPr>
      <w:r>
        <w:rPr>
          <w:noProof/>
        </w:rPr>
        <w:drawing>
          <wp:anchor distT="0" distB="0" distL="114300" distR="114300" simplePos="0" relativeHeight="251661312" behindDoc="1" locked="0" layoutInCell="1" allowOverlap="1">
            <wp:simplePos x="0" y="0"/>
            <wp:positionH relativeFrom="column">
              <wp:posOffset>1485900</wp:posOffset>
            </wp:positionH>
            <wp:positionV relativeFrom="paragraph">
              <wp:posOffset>103505</wp:posOffset>
            </wp:positionV>
            <wp:extent cx="2733040" cy="1425575"/>
            <wp:effectExtent l="0" t="0" r="0" b="3175"/>
            <wp:wrapTight wrapText="bothSides">
              <wp:wrapPolygon edited="0">
                <wp:start x="0" y="0"/>
                <wp:lineTo x="0" y="21359"/>
                <wp:lineTo x="21379" y="21359"/>
                <wp:lineTo x="21379" y="0"/>
                <wp:lineTo x="0" y="0"/>
              </wp:wrapPolygon>
            </wp:wrapTight>
            <wp:docPr id="12" name="図 12" descr="浄化機能生きてる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浄化機能生きてるよ"/>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040" cy="1425575"/>
                    </a:xfrm>
                    <a:prstGeom prst="rect">
                      <a:avLst/>
                    </a:prstGeom>
                    <a:noFill/>
                  </pic:spPr>
                </pic:pic>
              </a:graphicData>
            </a:graphic>
          </wp:anchor>
        </w:drawing>
      </w:r>
    </w:p>
    <w:p w:rsidR="008A1E94" w:rsidRDefault="008A1E94" w:rsidP="008A1E94">
      <w:pPr>
        <w:ind w:firstLineChars="100" w:firstLine="210"/>
        <w:jc w:val="center"/>
      </w:pPr>
    </w:p>
    <w:p w:rsidR="008A1E94" w:rsidRDefault="008A1E94" w:rsidP="008A1E94">
      <w:pPr>
        <w:ind w:firstLineChars="100" w:firstLine="210"/>
        <w:jc w:val="center"/>
      </w:pPr>
    </w:p>
    <w:p w:rsidR="008A1E94" w:rsidRDefault="008A1E94" w:rsidP="008A1E94">
      <w:pPr>
        <w:ind w:firstLineChars="100" w:firstLine="210"/>
        <w:jc w:val="center"/>
      </w:pPr>
    </w:p>
    <w:p w:rsidR="008A1E94" w:rsidRDefault="008A1E94" w:rsidP="008A1E94">
      <w:pPr>
        <w:ind w:firstLineChars="100" w:firstLine="210"/>
        <w:jc w:val="center"/>
      </w:pPr>
    </w:p>
    <w:p w:rsidR="008A1E94" w:rsidRDefault="008A1E94" w:rsidP="008A1E94">
      <w:pPr>
        <w:ind w:firstLineChars="100" w:firstLine="210"/>
        <w:jc w:val="center"/>
      </w:pPr>
    </w:p>
    <w:p w:rsidR="008A1E94" w:rsidRDefault="008A1E94" w:rsidP="008A1E94">
      <w:pPr>
        <w:ind w:firstLineChars="100" w:firstLine="210"/>
        <w:jc w:val="center"/>
      </w:pPr>
    </w:p>
    <w:p w:rsidR="008A1E94" w:rsidRDefault="008A1E94" w:rsidP="008A1E94">
      <w:pPr>
        <w:ind w:firstLineChars="100" w:firstLine="210"/>
        <w:jc w:val="center"/>
      </w:pPr>
      <w:r>
        <w:rPr>
          <w:rFonts w:hint="eastAsia"/>
        </w:rPr>
        <w:t>図</w:t>
      </w:r>
      <w:r w:rsidR="00510878">
        <w:rPr>
          <w:rFonts w:hint="eastAsia"/>
        </w:rPr>
        <w:t>5</w:t>
      </w:r>
      <w:r>
        <w:rPr>
          <w:rFonts w:hint="eastAsia"/>
        </w:rPr>
        <w:t xml:space="preserve">　地下水の</w:t>
      </w:r>
      <w:r>
        <w:rPr>
          <w:rFonts w:hint="eastAsia"/>
        </w:rPr>
        <w:t>NO</w:t>
      </w:r>
      <w:r w:rsidRPr="00FC2884">
        <w:rPr>
          <w:rFonts w:hint="eastAsia"/>
          <w:vertAlign w:val="subscript"/>
        </w:rPr>
        <w:t>3</w:t>
      </w:r>
      <w:r>
        <w:rPr>
          <w:rFonts w:hint="eastAsia"/>
        </w:rPr>
        <w:t>-N</w:t>
      </w:r>
      <w:r>
        <w:rPr>
          <w:rFonts w:hint="eastAsia"/>
        </w:rPr>
        <w:t>濃度</w:t>
      </w:r>
      <w:r>
        <w:rPr>
          <w:rFonts w:hint="eastAsia"/>
        </w:rPr>
        <w:t>(mg/L)</w:t>
      </w:r>
    </w:p>
    <w:p w:rsidR="008A1E94" w:rsidRDefault="008A1E94" w:rsidP="008A1E94">
      <w:pPr>
        <w:ind w:firstLineChars="100" w:firstLine="210"/>
      </w:pPr>
    </w:p>
    <w:p w:rsidR="008A1E94" w:rsidRDefault="008A1E94" w:rsidP="008A1E94">
      <w:pPr>
        <w:ind w:firstLineChars="100" w:firstLine="210"/>
      </w:pPr>
      <w:r>
        <w:rPr>
          <w:rFonts w:hint="eastAsia"/>
        </w:rPr>
        <w:t>湧水中の</w:t>
      </w:r>
      <w:r>
        <w:rPr>
          <w:rFonts w:hint="eastAsia"/>
        </w:rPr>
        <w:t>NO</w:t>
      </w:r>
      <w:r w:rsidRPr="00FC2884">
        <w:rPr>
          <w:rFonts w:hint="eastAsia"/>
          <w:vertAlign w:val="subscript"/>
        </w:rPr>
        <w:t>3</w:t>
      </w:r>
      <w:r>
        <w:rPr>
          <w:rFonts w:hint="eastAsia"/>
        </w:rPr>
        <w:t>-N</w:t>
      </w:r>
      <w:r>
        <w:rPr>
          <w:rFonts w:hint="eastAsia"/>
        </w:rPr>
        <w:t>濃度は、地点による差はあれども全体的には高い値を示し、最も高いもので</w:t>
      </w:r>
      <w:r>
        <w:rPr>
          <w:rFonts w:hint="eastAsia"/>
        </w:rPr>
        <w:t>79.7mg/L</w:t>
      </w:r>
      <w:r>
        <w:rPr>
          <w:rFonts w:hint="eastAsia"/>
        </w:rPr>
        <w:t>であった（図</w:t>
      </w:r>
      <w:r w:rsidR="00510878">
        <w:rPr>
          <w:rFonts w:hint="eastAsia"/>
        </w:rPr>
        <w:t>6</w:t>
      </w:r>
      <w:r>
        <w:rPr>
          <w:rFonts w:hint="eastAsia"/>
        </w:rPr>
        <w:t>）。</w:t>
      </w:r>
    </w:p>
    <w:p w:rsidR="008A1E94" w:rsidRPr="00A568A7" w:rsidRDefault="008A1E94" w:rsidP="008A1E94">
      <w:r>
        <w:rPr>
          <w:noProof/>
        </w:rPr>
        <w:drawing>
          <wp:anchor distT="0" distB="0" distL="114300" distR="114300" simplePos="0" relativeHeight="251662336" behindDoc="1" locked="0" layoutInCell="1" allowOverlap="1">
            <wp:simplePos x="0" y="0"/>
            <wp:positionH relativeFrom="margin">
              <wp:posOffset>3013710</wp:posOffset>
            </wp:positionH>
            <wp:positionV relativeFrom="margin">
              <wp:posOffset>2769870</wp:posOffset>
            </wp:positionV>
            <wp:extent cx="2134870" cy="3171825"/>
            <wp:effectExtent l="0" t="0" r="0" b="952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4870" cy="3171825"/>
                    </a:xfrm>
                    <a:prstGeom prst="rect">
                      <a:avLst/>
                    </a:prstGeom>
                    <a:noFill/>
                  </pic:spPr>
                </pic:pic>
              </a:graphicData>
            </a:graphic>
          </wp:anchor>
        </w:drawing>
      </w:r>
      <w:r>
        <w:rPr>
          <w:noProof/>
        </w:rPr>
        <w:drawing>
          <wp:inline distT="0" distB="0" distL="0" distR="0">
            <wp:extent cx="2876550" cy="1752600"/>
            <wp:effectExtent l="0" t="0" r="19050" b="19050"/>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extent cx="2876550" cy="1457325"/>
            <wp:effectExtent l="0" t="0" r="19050" b="9525"/>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1E94" w:rsidRPr="008625B1" w:rsidRDefault="008A1E94" w:rsidP="008A1E94">
      <w:r>
        <w:t>図</w:t>
      </w:r>
      <w:r w:rsidR="00510878">
        <w:rPr>
          <w:rFonts w:hint="eastAsia"/>
        </w:rPr>
        <w:t>6</w:t>
      </w:r>
      <w:r>
        <w:t xml:space="preserve">　湧水と河川中の</w:t>
      </w:r>
      <w:r>
        <w:rPr>
          <w:rFonts w:hint="eastAsia"/>
        </w:rPr>
        <w:t>NO</w:t>
      </w:r>
      <w:r w:rsidRPr="00FC2884">
        <w:rPr>
          <w:rFonts w:hint="eastAsia"/>
          <w:vertAlign w:val="subscript"/>
        </w:rPr>
        <w:t>3</w:t>
      </w:r>
      <w:r>
        <w:rPr>
          <w:rFonts w:hint="eastAsia"/>
        </w:rPr>
        <w:t>-N</w:t>
      </w:r>
      <w:r>
        <w:rPr>
          <w:rFonts w:hint="eastAsia"/>
        </w:rPr>
        <w:t xml:space="preserve">濃度及び採水地点　　</w:t>
      </w:r>
    </w:p>
    <w:p w:rsidR="008A1E94" w:rsidRPr="00506AA8" w:rsidRDefault="008A1E94" w:rsidP="008A1E94"/>
    <w:p w:rsidR="008A1E94" w:rsidRDefault="008A1E94" w:rsidP="008A1E94">
      <w:pPr>
        <w:pStyle w:val="a3"/>
        <w:numPr>
          <w:ilvl w:val="1"/>
          <w:numId w:val="1"/>
        </w:numPr>
        <w:ind w:leftChars="0"/>
      </w:pPr>
      <w:r>
        <w:rPr>
          <w:rFonts w:hint="eastAsia"/>
        </w:rPr>
        <w:t>植生調査</w:t>
      </w:r>
    </w:p>
    <w:p w:rsidR="008A1E94" w:rsidRDefault="008A1E94" w:rsidP="008A1E94">
      <w:pPr>
        <w:ind w:leftChars="200" w:left="420" w:firstLineChars="100" w:firstLine="210"/>
      </w:pPr>
      <w:r>
        <w:rPr>
          <w:rFonts w:hint="eastAsia"/>
        </w:rPr>
        <w:t>2010</w:t>
      </w:r>
      <w:r>
        <w:rPr>
          <w:rFonts w:hint="eastAsia"/>
        </w:rPr>
        <w:t>年</w:t>
      </w:r>
      <w:r>
        <w:rPr>
          <w:rFonts w:hint="eastAsia"/>
        </w:rPr>
        <w:t>5</w:t>
      </w:r>
      <w:r>
        <w:rPr>
          <w:rFonts w:hint="eastAsia"/>
        </w:rPr>
        <w:t>月</w:t>
      </w:r>
      <w:r>
        <w:rPr>
          <w:rFonts w:hint="eastAsia"/>
        </w:rPr>
        <w:t>19</w:t>
      </w:r>
      <w:r>
        <w:rPr>
          <w:rFonts w:hint="eastAsia"/>
        </w:rPr>
        <w:t>日に植生調査を行なった。</w:t>
      </w:r>
      <w:r>
        <w:rPr>
          <w:rFonts w:hint="eastAsia"/>
        </w:rPr>
        <w:t>S4-S13</w:t>
      </w:r>
      <w:r>
        <w:rPr>
          <w:rFonts w:hint="eastAsia"/>
        </w:rPr>
        <w:t>、</w:t>
      </w:r>
      <w:r>
        <w:rPr>
          <w:rFonts w:hint="eastAsia"/>
        </w:rPr>
        <w:t>S6-S15</w:t>
      </w:r>
      <w:r>
        <w:rPr>
          <w:rFonts w:hint="eastAsia"/>
        </w:rPr>
        <w:t>、</w:t>
      </w:r>
      <w:r>
        <w:rPr>
          <w:rFonts w:hint="eastAsia"/>
        </w:rPr>
        <w:t>S10-S17</w:t>
      </w:r>
      <w:r>
        <w:rPr>
          <w:rFonts w:hint="eastAsia"/>
        </w:rPr>
        <w:t>の３カ所</w:t>
      </w:r>
      <w:r>
        <w:rPr>
          <w:rFonts w:hint="eastAsia"/>
        </w:rPr>
        <w:t>(</w:t>
      </w:r>
      <w:r>
        <w:rPr>
          <w:rFonts w:hint="eastAsia"/>
        </w:rPr>
        <w:t>図</w:t>
      </w:r>
      <w:r w:rsidR="00510878">
        <w:rPr>
          <w:rFonts w:hint="eastAsia"/>
        </w:rPr>
        <w:t>7</w:t>
      </w:r>
      <w:r w:rsidR="00510878">
        <w:rPr>
          <w:rFonts w:hint="eastAsia"/>
        </w:rPr>
        <w:t xml:space="preserve">　</w:t>
      </w:r>
      <w:r>
        <w:rPr>
          <w:rFonts w:hint="eastAsia"/>
        </w:rPr>
        <w:t>中赤線部分</w:t>
      </w:r>
      <w:r>
        <w:rPr>
          <w:rFonts w:hint="eastAsia"/>
        </w:rPr>
        <w:t>)</w:t>
      </w:r>
      <w:r>
        <w:rPr>
          <w:rFonts w:hint="eastAsia"/>
        </w:rPr>
        <w:t>においてライントランセクト法により調査した。植生断面図は、現在作成中である。</w:t>
      </w:r>
    </w:p>
    <w:p w:rsidR="009A7280" w:rsidRDefault="009A7280" w:rsidP="008A1E94">
      <w:pPr>
        <w:ind w:firstLineChars="1600" w:firstLine="3360"/>
      </w:pPr>
      <w:r>
        <w:rPr>
          <w:noProof/>
        </w:rPr>
        <w:lastRenderedPageBreak/>
        <w:drawing>
          <wp:anchor distT="0" distB="0" distL="114300" distR="114300" simplePos="0" relativeHeight="251667456" behindDoc="0" locked="0" layoutInCell="1" allowOverlap="1">
            <wp:simplePos x="0" y="0"/>
            <wp:positionH relativeFrom="margin">
              <wp:posOffset>1777365</wp:posOffset>
            </wp:positionH>
            <wp:positionV relativeFrom="margin">
              <wp:posOffset>158750</wp:posOffset>
            </wp:positionV>
            <wp:extent cx="1838325" cy="3073400"/>
            <wp:effectExtent l="38100" t="19050" r="28575" b="12700"/>
            <wp:wrapSquare wrapText="bothSides"/>
            <wp:docPr id="16" name="図 16" descr="植生調査地点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植生調査地点図"/>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3073400"/>
                    </a:xfrm>
                    <a:prstGeom prst="rect">
                      <a:avLst/>
                    </a:prstGeom>
                    <a:noFill/>
                    <a:ln w="9525">
                      <a:solidFill>
                        <a:schemeClr val="tx1">
                          <a:lumMod val="100000"/>
                          <a:lumOff val="0"/>
                        </a:schemeClr>
                      </a:solidFill>
                      <a:miter lim="800000"/>
                      <a:headEnd/>
                      <a:tailEnd/>
                    </a:ln>
                  </pic:spPr>
                </pic:pic>
              </a:graphicData>
            </a:graphic>
          </wp:anchor>
        </w:drawing>
      </w: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jc w:val="center"/>
        <w:rPr>
          <w:rFonts w:hint="eastAsia"/>
        </w:rPr>
      </w:pPr>
      <w:r>
        <w:rPr>
          <w:rFonts w:hint="eastAsia"/>
        </w:rPr>
        <w:t>図</w:t>
      </w:r>
      <w:r>
        <w:rPr>
          <w:rFonts w:hint="eastAsia"/>
        </w:rPr>
        <w:t>7</w:t>
      </w:r>
      <w:r>
        <w:rPr>
          <w:rFonts w:hint="eastAsia"/>
        </w:rPr>
        <w:t xml:space="preserve">　植生調査地点</w:t>
      </w: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pPr>
    </w:p>
    <w:p w:rsidR="009A7280" w:rsidRDefault="009A7280">
      <w:pPr>
        <w:widowControl/>
        <w:jc w:val="left"/>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A7280">
      <w:pPr>
        <w:ind w:left="284"/>
        <w:rPr>
          <w:rFonts w:hint="eastAsia"/>
        </w:rPr>
      </w:pPr>
    </w:p>
    <w:p w:rsidR="00C62A98" w:rsidRDefault="00C62A98" w:rsidP="00A658D1">
      <w:pPr>
        <w:widowControl/>
        <w:jc w:val="center"/>
        <w:rPr>
          <w:rFonts w:hint="eastAsia"/>
        </w:rPr>
      </w:pPr>
    </w:p>
    <w:p w:rsidR="009A7280" w:rsidRDefault="009A7280" w:rsidP="00A658D1">
      <w:pPr>
        <w:widowControl/>
        <w:jc w:val="center"/>
        <w:rPr>
          <w:rFonts w:hint="eastAsia"/>
        </w:rPr>
      </w:pPr>
      <w:r>
        <w:rPr>
          <w:noProof/>
        </w:rPr>
        <w:lastRenderedPageBreak/>
        <w:drawing>
          <wp:anchor distT="0" distB="0" distL="114300" distR="114300" simplePos="0" relativeHeight="251668480" behindDoc="0" locked="0" layoutInCell="1" allowOverlap="1">
            <wp:simplePos x="0" y="0"/>
            <wp:positionH relativeFrom="column">
              <wp:posOffset>-1089660</wp:posOffset>
            </wp:positionH>
            <wp:positionV relativeFrom="paragraph">
              <wp:posOffset>712470</wp:posOffset>
            </wp:positionV>
            <wp:extent cx="7781925" cy="6318885"/>
            <wp:effectExtent l="0" t="723900" r="0" b="71056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rot="16200000">
                      <a:off x="0" y="0"/>
                      <a:ext cx="7781925" cy="6318885"/>
                    </a:xfrm>
                    <a:prstGeom prst="rect">
                      <a:avLst/>
                    </a:prstGeom>
                    <a:noFill/>
                    <a:ln w="9525">
                      <a:noFill/>
                      <a:miter lim="800000"/>
                      <a:headEnd/>
                      <a:tailEnd/>
                    </a:ln>
                  </pic:spPr>
                </pic:pic>
              </a:graphicData>
            </a:graphic>
          </wp:anchor>
        </w:drawing>
      </w:r>
      <w:r w:rsidR="00C62A98">
        <w:rPr>
          <w:rFonts w:hint="eastAsia"/>
        </w:rPr>
        <w:t>表</w:t>
      </w:r>
      <w:r w:rsidR="00C62A98">
        <w:rPr>
          <w:rFonts w:hint="eastAsia"/>
        </w:rPr>
        <w:t>1</w:t>
      </w:r>
      <w:r w:rsidR="00C62A98">
        <w:rPr>
          <w:rFonts w:hint="eastAsia"/>
        </w:rPr>
        <w:t xml:space="preserve">　</w:t>
      </w:r>
      <w:r w:rsidR="00A658D1">
        <w:rPr>
          <w:rFonts w:hint="eastAsia"/>
        </w:rPr>
        <w:t>S4-S13</w:t>
      </w:r>
      <w:r>
        <w:br w:type="page"/>
      </w:r>
    </w:p>
    <w:p w:rsidR="009A7280" w:rsidRDefault="00A658D1" w:rsidP="00A658D1">
      <w:pPr>
        <w:ind w:left="284"/>
        <w:jc w:val="center"/>
        <w:rPr>
          <w:rFonts w:hint="eastAsia"/>
        </w:rPr>
      </w:pPr>
      <w:r w:rsidRPr="00A658D1">
        <w:rPr>
          <w:rFonts w:hint="eastAsia"/>
        </w:rPr>
        <w:lastRenderedPageBreak/>
        <w:drawing>
          <wp:anchor distT="0" distB="0" distL="114300" distR="114300" simplePos="0" relativeHeight="251669504" behindDoc="0" locked="0" layoutInCell="1" allowOverlap="1">
            <wp:simplePos x="0" y="0"/>
            <wp:positionH relativeFrom="column">
              <wp:posOffset>-1070610</wp:posOffset>
            </wp:positionH>
            <wp:positionV relativeFrom="paragraph">
              <wp:posOffset>854075</wp:posOffset>
            </wp:positionV>
            <wp:extent cx="7610475" cy="6132830"/>
            <wp:effectExtent l="0" t="742950" r="0" b="72517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rot="16200000">
                      <a:off x="0" y="0"/>
                      <a:ext cx="7610475" cy="6132830"/>
                    </a:xfrm>
                    <a:prstGeom prst="rect">
                      <a:avLst/>
                    </a:prstGeom>
                    <a:noFill/>
                    <a:ln w="9525">
                      <a:noFill/>
                      <a:miter lim="800000"/>
                      <a:headEnd/>
                      <a:tailEnd/>
                    </a:ln>
                  </pic:spPr>
                </pic:pic>
              </a:graphicData>
            </a:graphic>
          </wp:anchor>
        </w:drawing>
      </w:r>
      <w:r w:rsidR="00C62A98">
        <w:rPr>
          <w:rFonts w:hint="eastAsia"/>
        </w:rPr>
        <w:t>表</w:t>
      </w:r>
      <w:r w:rsidR="00C62A98">
        <w:rPr>
          <w:rFonts w:hint="eastAsia"/>
        </w:rPr>
        <w:t>2</w:t>
      </w:r>
      <w:r w:rsidR="00C62A98">
        <w:rPr>
          <w:rFonts w:hint="eastAsia"/>
        </w:rPr>
        <w:t xml:space="preserve">　</w:t>
      </w:r>
      <w:r>
        <w:rPr>
          <w:rFonts w:hint="eastAsia"/>
        </w:rPr>
        <w:t>S6-S15</w:t>
      </w:r>
    </w:p>
    <w:p w:rsidR="009A7280" w:rsidRDefault="009A7280" w:rsidP="009A7280">
      <w:pPr>
        <w:ind w:left="284"/>
        <w:rPr>
          <w:rFonts w:hint="eastAsia"/>
        </w:rPr>
      </w:pPr>
    </w:p>
    <w:p w:rsidR="009A7280" w:rsidRDefault="00A658D1" w:rsidP="00A658D1">
      <w:pPr>
        <w:ind w:left="284"/>
        <w:jc w:val="center"/>
        <w:rPr>
          <w:rFonts w:hint="eastAsia"/>
        </w:rPr>
      </w:pPr>
      <w:r w:rsidRPr="00A658D1">
        <w:rPr>
          <w:rFonts w:hint="eastAsia"/>
        </w:rPr>
        <w:lastRenderedPageBreak/>
        <w:drawing>
          <wp:anchor distT="0" distB="0" distL="114300" distR="114300" simplePos="0" relativeHeight="251670528" behindDoc="0" locked="0" layoutInCell="1" allowOverlap="1">
            <wp:simplePos x="0" y="0"/>
            <wp:positionH relativeFrom="column">
              <wp:posOffset>-1001395</wp:posOffset>
            </wp:positionH>
            <wp:positionV relativeFrom="paragraph">
              <wp:posOffset>298450</wp:posOffset>
            </wp:positionV>
            <wp:extent cx="7413625" cy="6060440"/>
            <wp:effectExtent l="0" t="685800" r="0" b="66421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rot="16200000">
                      <a:off x="0" y="0"/>
                      <a:ext cx="7413625" cy="6060440"/>
                    </a:xfrm>
                    <a:prstGeom prst="rect">
                      <a:avLst/>
                    </a:prstGeom>
                    <a:noFill/>
                    <a:ln w="9525">
                      <a:noFill/>
                      <a:miter lim="800000"/>
                      <a:headEnd/>
                      <a:tailEnd/>
                    </a:ln>
                  </pic:spPr>
                </pic:pic>
              </a:graphicData>
            </a:graphic>
          </wp:anchor>
        </w:drawing>
      </w:r>
      <w:r w:rsidR="00936C44">
        <w:rPr>
          <w:rFonts w:hint="eastAsia"/>
        </w:rPr>
        <w:t>表</w:t>
      </w:r>
      <w:r w:rsidR="00936C44">
        <w:rPr>
          <w:rFonts w:hint="eastAsia"/>
        </w:rPr>
        <w:t>3</w:t>
      </w:r>
      <w:r w:rsidR="00936C44">
        <w:rPr>
          <w:rFonts w:hint="eastAsia"/>
        </w:rPr>
        <w:t xml:space="preserve">　</w:t>
      </w:r>
      <w:r>
        <w:rPr>
          <w:rFonts w:hint="eastAsia"/>
        </w:rPr>
        <w:t>S10-S17</w:t>
      </w:r>
    </w:p>
    <w:p w:rsidR="009A7280" w:rsidRDefault="009A7280" w:rsidP="009A7280">
      <w:pPr>
        <w:ind w:left="284"/>
        <w:rPr>
          <w:rFonts w:hint="eastAsia"/>
        </w:rPr>
      </w:pPr>
    </w:p>
    <w:p w:rsidR="009A7280" w:rsidRDefault="009A7280" w:rsidP="009A7280">
      <w:pPr>
        <w:ind w:left="284"/>
        <w:rPr>
          <w:rFonts w:hint="eastAsia"/>
        </w:rPr>
      </w:pPr>
    </w:p>
    <w:p w:rsidR="009A7280" w:rsidRDefault="009A7280" w:rsidP="00936C44">
      <w:pPr>
        <w:rPr>
          <w:rFonts w:hint="eastAsia"/>
        </w:rPr>
      </w:pPr>
    </w:p>
    <w:p w:rsidR="009A7280" w:rsidRDefault="009A7280" w:rsidP="009A7280">
      <w:pPr>
        <w:rPr>
          <w:rFonts w:hint="eastAsia"/>
        </w:rPr>
      </w:pPr>
    </w:p>
    <w:p w:rsidR="008A1E94" w:rsidRDefault="009A7280" w:rsidP="009A7280">
      <w:pPr>
        <w:ind w:left="284"/>
      </w:pPr>
      <w:r>
        <w:rPr>
          <w:rFonts w:hint="eastAsia"/>
        </w:rPr>
        <w:lastRenderedPageBreak/>
        <w:t>D)</w:t>
      </w:r>
      <w:r w:rsidR="008A1E94">
        <w:rPr>
          <w:rFonts w:hint="eastAsia"/>
        </w:rPr>
        <w:t>土壌中の</w:t>
      </w:r>
      <w:r w:rsidR="008A1E94">
        <w:rPr>
          <w:rFonts w:hint="eastAsia"/>
        </w:rPr>
        <w:t>NO</w:t>
      </w:r>
      <w:r w:rsidR="008A1E94" w:rsidRPr="009A7280">
        <w:rPr>
          <w:rFonts w:hint="eastAsia"/>
          <w:vertAlign w:val="subscript"/>
        </w:rPr>
        <w:t>3</w:t>
      </w:r>
      <w:r w:rsidR="008A1E94">
        <w:rPr>
          <w:rFonts w:hint="eastAsia"/>
        </w:rPr>
        <w:t>-N</w:t>
      </w:r>
      <w:r w:rsidR="008A1E94">
        <w:rPr>
          <w:rFonts w:hint="eastAsia"/>
        </w:rPr>
        <w:t>量および</w:t>
      </w:r>
      <w:r w:rsidR="008A1E94">
        <w:rPr>
          <w:rFonts w:hint="eastAsia"/>
          <w:noProof/>
        </w:rPr>
        <w:t>NH</w:t>
      </w:r>
      <w:r w:rsidR="008A1E94" w:rsidRPr="009A7280">
        <w:rPr>
          <w:rFonts w:hint="eastAsia"/>
          <w:noProof/>
          <w:vertAlign w:val="subscript"/>
        </w:rPr>
        <w:t>4</w:t>
      </w:r>
      <w:r w:rsidR="008A1E94">
        <w:rPr>
          <w:rFonts w:hint="eastAsia"/>
          <w:noProof/>
        </w:rPr>
        <w:t>-N</w:t>
      </w:r>
      <w:r w:rsidR="008A1E94">
        <w:rPr>
          <w:rFonts w:hint="eastAsia"/>
          <w:noProof/>
        </w:rPr>
        <w:t>量</w:t>
      </w:r>
      <w:r w:rsidR="008A1E94">
        <w:rPr>
          <w:rFonts w:hint="eastAsia"/>
        </w:rPr>
        <w:t>の測定</w:t>
      </w:r>
    </w:p>
    <w:p w:rsidR="008A1E94" w:rsidRPr="00EB5A43" w:rsidRDefault="008A1E94" w:rsidP="008A1E94">
      <w:pPr>
        <w:ind w:leftChars="200" w:left="420" w:firstLineChars="100" w:firstLine="210"/>
      </w:pPr>
      <w:r>
        <w:rPr>
          <w:rFonts w:hint="eastAsia"/>
          <w:noProof/>
        </w:rPr>
        <w:t>S4</w:t>
      </w:r>
      <w:r>
        <w:rPr>
          <w:rFonts w:hint="eastAsia"/>
          <w:noProof/>
        </w:rPr>
        <w:t>、</w:t>
      </w:r>
      <w:r>
        <w:rPr>
          <w:rFonts w:hint="eastAsia"/>
          <w:noProof/>
        </w:rPr>
        <w:t>S6</w:t>
      </w:r>
      <w:r>
        <w:rPr>
          <w:rFonts w:hint="eastAsia"/>
          <w:noProof/>
        </w:rPr>
        <w:t>、</w:t>
      </w:r>
      <w:r>
        <w:rPr>
          <w:rFonts w:hint="eastAsia"/>
          <w:noProof/>
        </w:rPr>
        <w:t>S10</w:t>
      </w:r>
      <w:r>
        <w:rPr>
          <w:rFonts w:hint="eastAsia"/>
          <w:noProof/>
        </w:rPr>
        <w:t>、</w:t>
      </w:r>
      <w:r>
        <w:rPr>
          <w:rFonts w:hint="eastAsia"/>
          <w:noProof/>
        </w:rPr>
        <w:t>S13</w:t>
      </w:r>
      <w:r>
        <w:rPr>
          <w:rFonts w:hint="eastAsia"/>
          <w:noProof/>
        </w:rPr>
        <w:t>、</w:t>
      </w:r>
      <w:r>
        <w:rPr>
          <w:rFonts w:hint="eastAsia"/>
          <w:noProof/>
        </w:rPr>
        <w:t>S15,S17</w:t>
      </w:r>
      <w:r>
        <w:rPr>
          <w:rFonts w:hint="eastAsia"/>
          <w:noProof/>
        </w:rPr>
        <w:t>において土壌を採取し、土壌中の</w:t>
      </w:r>
      <w:r>
        <w:rPr>
          <w:rFonts w:hint="eastAsia"/>
        </w:rPr>
        <w:t>NO</w:t>
      </w:r>
      <w:r w:rsidRPr="00506AA8">
        <w:rPr>
          <w:rFonts w:hint="eastAsia"/>
          <w:vertAlign w:val="subscript"/>
        </w:rPr>
        <w:t>3</w:t>
      </w:r>
      <w:r>
        <w:rPr>
          <w:rFonts w:hint="eastAsia"/>
        </w:rPr>
        <w:t>-N</w:t>
      </w:r>
      <w:r>
        <w:rPr>
          <w:rFonts w:hint="eastAsia"/>
          <w:noProof/>
        </w:rPr>
        <w:t>および</w:t>
      </w:r>
      <w:r>
        <w:rPr>
          <w:rFonts w:hint="eastAsia"/>
          <w:noProof/>
        </w:rPr>
        <w:t>NH</w:t>
      </w:r>
      <w:r w:rsidRPr="00506AA8">
        <w:rPr>
          <w:rFonts w:hint="eastAsia"/>
          <w:noProof/>
          <w:vertAlign w:val="subscript"/>
        </w:rPr>
        <w:t>4</w:t>
      </w:r>
      <w:r>
        <w:rPr>
          <w:rFonts w:hint="eastAsia"/>
          <w:noProof/>
        </w:rPr>
        <w:t>-N</w:t>
      </w:r>
      <w:r>
        <w:rPr>
          <w:rFonts w:hint="eastAsia"/>
          <w:noProof/>
        </w:rPr>
        <w:t>量を測定した</w:t>
      </w:r>
      <w:r>
        <w:rPr>
          <w:rFonts w:hint="eastAsia"/>
          <w:noProof/>
        </w:rPr>
        <w:t>(</w:t>
      </w:r>
      <w:r>
        <w:rPr>
          <w:rFonts w:hint="eastAsia"/>
          <w:noProof/>
        </w:rPr>
        <w:t>図</w:t>
      </w:r>
      <w:r w:rsidR="00510878">
        <w:rPr>
          <w:rFonts w:hint="eastAsia"/>
          <w:noProof/>
        </w:rPr>
        <w:t>8,9</w:t>
      </w:r>
      <w:r>
        <w:rPr>
          <w:rFonts w:hint="eastAsia"/>
          <w:noProof/>
        </w:rPr>
        <w:t>)</w:t>
      </w:r>
      <w:r>
        <w:rPr>
          <w:rFonts w:hint="eastAsia"/>
          <w:noProof/>
        </w:rPr>
        <w:t>。</w:t>
      </w:r>
    </w:p>
    <w:p w:rsidR="008A1E94" w:rsidRPr="00EB5A43" w:rsidRDefault="008A1E94" w:rsidP="008A1E94">
      <w:pPr>
        <w:ind w:firstLineChars="400" w:firstLine="840"/>
      </w:pPr>
      <w:r>
        <w:rPr>
          <w:noProof/>
        </w:rPr>
        <w:drawing>
          <wp:anchor distT="0" distB="0" distL="114300" distR="114300" simplePos="0" relativeHeight="251665408" behindDoc="1" locked="0" layoutInCell="1" allowOverlap="1">
            <wp:simplePos x="0" y="0"/>
            <wp:positionH relativeFrom="column">
              <wp:posOffset>-80010</wp:posOffset>
            </wp:positionH>
            <wp:positionV relativeFrom="paragraph">
              <wp:posOffset>194310</wp:posOffset>
            </wp:positionV>
            <wp:extent cx="2855595" cy="1842770"/>
            <wp:effectExtent l="19050" t="19050" r="20955" b="24130"/>
            <wp:wrapTight wrapText="bothSides">
              <wp:wrapPolygon edited="0">
                <wp:start x="-144" y="-223"/>
                <wp:lineTo x="-144" y="21660"/>
                <wp:lineTo x="21614" y="21660"/>
                <wp:lineTo x="21614" y="-223"/>
                <wp:lineTo x="-144" y="-223"/>
              </wp:wrapPolygon>
            </wp:wrapTight>
            <wp:docPr id="27" name="グラフ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8"/>
                    <pic:cNvPicPr>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5595" cy="1842770"/>
                    </a:xfrm>
                    <a:prstGeom prst="rect">
                      <a:avLst/>
                    </a:prstGeom>
                    <a:noFill/>
                    <a:ln w="9525">
                      <a:solidFill>
                        <a:schemeClr val="tx1">
                          <a:lumMod val="100000"/>
                          <a:lumOff val="0"/>
                        </a:schemeClr>
                      </a:solidFill>
                      <a:miter lim="800000"/>
                      <a:headEnd/>
                      <a:tailEnd/>
                    </a:ln>
                  </pic:spPr>
                </pic:pic>
              </a:graphicData>
            </a:graphic>
          </wp:anchor>
        </w:drawing>
      </w:r>
      <w:r>
        <w:t>図</w:t>
      </w:r>
      <w:r w:rsidR="00510878">
        <w:rPr>
          <w:rFonts w:hint="eastAsia"/>
        </w:rPr>
        <w:t>8</w:t>
      </w:r>
      <w:r>
        <w:t xml:space="preserve">　</w:t>
      </w:r>
      <w:r>
        <w:rPr>
          <w:rFonts w:hint="eastAsia"/>
        </w:rPr>
        <w:t>土壌中の</w:t>
      </w:r>
      <w:r>
        <w:rPr>
          <w:rFonts w:hint="eastAsia"/>
        </w:rPr>
        <w:t>NO</w:t>
      </w:r>
      <w:r w:rsidRPr="00FC2884">
        <w:rPr>
          <w:rFonts w:hint="eastAsia"/>
          <w:vertAlign w:val="subscript"/>
        </w:rPr>
        <w:t>3</w:t>
      </w:r>
      <w:r>
        <w:rPr>
          <w:rFonts w:hint="eastAsia"/>
        </w:rPr>
        <w:t>-N</w:t>
      </w:r>
      <w:r>
        <w:rPr>
          <w:rFonts w:hint="eastAsia"/>
        </w:rPr>
        <w:t>量　　　　　　　　　　図</w:t>
      </w:r>
      <w:r w:rsidR="00510878">
        <w:rPr>
          <w:rFonts w:hint="eastAsia"/>
        </w:rPr>
        <w:t>9</w:t>
      </w:r>
      <w:r>
        <w:rPr>
          <w:rFonts w:hint="eastAsia"/>
        </w:rPr>
        <w:t xml:space="preserve">　土壌中の</w:t>
      </w:r>
      <w:r>
        <w:rPr>
          <w:rFonts w:hint="eastAsia"/>
          <w:noProof/>
        </w:rPr>
        <w:t>NH</w:t>
      </w:r>
      <w:r w:rsidRPr="00443847">
        <w:rPr>
          <w:rFonts w:hint="eastAsia"/>
          <w:noProof/>
          <w:vertAlign w:val="subscript"/>
        </w:rPr>
        <w:t>4</w:t>
      </w:r>
      <w:r>
        <w:rPr>
          <w:rFonts w:hint="eastAsia"/>
          <w:noProof/>
        </w:rPr>
        <w:t>-N</w:t>
      </w:r>
      <w:r>
        <w:rPr>
          <w:rFonts w:hint="eastAsia"/>
          <w:noProof/>
        </w:rPr>
        <w:t>量</w:t>
      </w:r>
      <w:r>
        <w:rPr>
          <w:noProof/>
        </w:rPr>
        <w:drawing>
          <wp:anchor distT="0" distB="0" distL="114300" distR="114300" simplePos="0" relativeHeight="251666432" behindDoc="1" locked="0" layoutInCell="1" allowOverlap="1">
            <wp:simplePos x="0" y="0"/>
            <wp:positionH relativeFrom="column">
              <wp:posOffset>2836545</wp:posOffset>
            </wp:positionH>
            <wp:positionV relativeFrom="paragraph">
              <wp:posOffset>180340</wp:posOffset>
            </wp:positionV>
            <wp:extent cx="2698115" cy="1866265"/>
            <wp:effectExtent l="19050" t="19050" r="26035" b="19685"/>
            <wp:wrapTight wrapText="bothSides">
              <wp:wrapPolygon edited="0">
                <wp:start x="-153" y="-220"/>
                <wp:lineTo x="-153" y="21607"/>
                <wp:lineTo x="21656" y="21607"/>
                <wp:lineTo x="21656" y="-220"/>
                <wp:lineTo x="-153" y="-220"/>
              </wp:wrapPolygon>
            </wp:wrapTight>
            <wp:docPr id="28" name="グラフ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9"/>
                    <pic:cNvPicPr>
                      <a:picLocks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8115" cy="1866265"/>
                    </a:xfrm>
                    <a:prstGeom prst="rect">
                      <a:avLst/>
                    </a:prstGeom>
                    <a:noFill/>
                    <a:ln w="9525">
                      <a:solidFill>
                        <a:schemeClr val="tx1">
                          <a:lumMod val="100000"/>
                          <a:lumOff val="0"/>
                        </a:schemeClr>
                      </a:solidFill>
                      <a:miter lim="800000"/>
                      <a:headEnd/>
                      <a:tailEnd/>
                    </a:ln>
                  </pic:spPr>
                </pic:pic>
              </a:graphicData>
            </a:graphic>
          </wp:anchor>
        </w:drawing>
      </w:r>
    </w:p>
    <w:p w:rsidR="008A1E94" w:rsidRDefault="008A1E94" w:rsidP="008A1E94"/>
    <w:p w:rsidR="008A1E94" w:rsidRDefault="008A1E94" w:rsidP="008A1E94">
      <w:pPr>
        <w:pStyle w:val="a3"/>
        <w:numPr>
          <w:ilvl w:val="1"/>
          <w:numId w:val="1"/>
        </w:numPr>
        <w:ind w:leftChars="0"/>
      </w:pPr>
      <w:r>
        <w:rPr>
          <w:rFonts w:hint="eastAsia"/>
        </w:rPr>
        <w:t>植生－土壌－水質間の関係性の把握</w:t>
      </w:r>
    </w:p>
    <w:p w:rsidR="008A1E94" w:rsidRDefault="008A1E94" w:rsidP="008A1E94">
      <w:pPr>
        <w:ind w:leftChars="200" w:left="420" w:firstLineChars="100" w:firstLine="210"/>
      </w:pPr>
      <w:r>
        <w:rPr>
          <w:rFonts w:hint="eastAsia"/>
        </w:rPr>
        <w:t>得られた植生、土壌、水質データから、これらが互いにどのように影響しているのかを考察した。土壌中の無機態窒素（硝酸態窒素とアンモニア態窒素の合計）と、該当箇所の水質中の硝酸量には、一部を除いてゆるやかな関連性が見られた（図</w:t>
      </w:r>
      <w:r w:rsidR="00510878">
        <w:rPr>
          <w:rFonts w:hint="eastAsia"/>
        </w:rPr>
        <w:t>10,11</w:t>
      </w:r>
      <w:r>
        <w:rPr>
          <w:rFonts w:hint="eastAsia"/>
        </w:rPr>
        <w:t>）。</w:t>
      </w:r>
    </w:p>
    <w:p w:rsidR="008A1E94" w:rsidRDefault="008A1E94" w:rsidP="008A1E94">
      <w:r>
        <w:rPr>
          <w:noProof/>
        </w:rPr>
        <w:drawing>
          <wp:inline distT="0" distB="0" distL="0" distR="0">
            <wp:extent cx="4772025" cy="2657475"/>
            <wp:effectExtent l="0" t="0" r="9525" b="9525"/>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A1E94" w:rsidRDefault="008A1E94" w:rsidP="008A1E94">
      <w:r>
        <w:rPr>
          <w:rFonts w:hint="eastAsia"/>
        </w:rPr>
        <w:t>図</w:t>
      </w:r>
      <w:r w:rsidR="00510878">
        <w:rPr>
          <w:rFonts w:hint="eastAsia"/>
        </w:rPr>
        <w:t>10</w:t>
      </w:r>
      <w:r>
        <w:rPr>
          <w:rFonts w:hint="eastAsia"/>
        </w:rPr>
        <w:t xml:space="preserve">　土壌中無機態窒素の量と水質中硝酸態窒素の量</w:t>
      </w:r>
    </w:p>
    <w:p w:rsidR="008A1E94" w:rsidRDefault="008A1E94" w:rsidP="008A1E94">
      <w:r>
        <w:rPr>
          <w:noProof/>
        </w:rPr>
        <w:lastRenderedPageBreak/>
        <w:drawing>
          <wp:inline distT="0" distB="0" distL="0" distR="0">
            <wp:extent cx="4314825" cy="2324100"/>
            <wp:effectExtent l="0" t="0" r="9525" b="1905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A1E94" w:rsidRPr="003C1688" w:rsidRDefault="008A1E94" w:rsidP="008A1E94">
      <w:pPr>
        <w:rPr>
          <w:color w:val="FF0000"/>
        </w:rPr>
      </w:pPr>
      <w:r>
        <w:rPr>
          <w:rFonts w:hint="eastAsia"/>
        </w:rPr>
        <w:t>図</w:t>
      </w:r>
      <w:r w:rsidR="00510878">
        <w:rPr>
          <w:rFonts w:hint="eastAsia"/>
        </w:rPr>
        <w:t>11</w:t>
      </w:r>
      <w:r>
        <w:rPr>
          <w:rFonts w:hint="eastAsia"/>
        </w:rPr>
        <w:t xml:space="preserve">　</w:t>
      </w:r>
      <w:r w:rsidRPr="00363706">
        <w:rPr>
          <w:rFonts w:hint="eastAsia"/>
        </w:rPr>
        <w:t>水中硝酸量と土壌無機態窒素の相関性（</w:t>
      </w:r>
      <w:r w:rsidRPr="00363706">
        <w:rPr>
          <w:rFonts w:hint="eastAsia"/>
        </w:rPr>
        <w:t>S6</w:t>
      </w:r>
      <w:r w:rsidRPr="00363706">
        <w:rPr>
          <w:rFonts w:hint="eastAsia"/>
        </w:rPr>
        <w:t>を除外）</w:t>
      </w:r>
    </w:p>
    <w:p w:rsidR="009119CF" w:rsidRDefault="009119CF" w:rsidP="008A1E94">
      <w:pPr>
        <w:rPr>
          <w:rFonts w:hint="eastAsia"/>
        </w:rPr>
      </w:pPr>
    </w:p>
    <w:p w:rsidR="008A1E94" w:rsidRPr="003C1688" w:rsidRDefault="008A1E94" w:rsidP="008A1E94">
      <w:pPr>
        <w:rPr>
          <w:color w:val="FF0000"/>
        </w:rPr>
      </w:pPr>
      <w:r>
        <w:rPr>
          <w:rFonts w:hint="eastAsia"/>
        </w:rPr>
        <w:t xml:space="preserve">植生との関係については考察中である。　　　　　　　</w:t>
      </w:r>
    </w:p>
    <w:p w:rsidR="008A1E94" w:rsidRDefault="008A1E94" w:rsidP="008A1E94">
      <w:pPr>
        <w:pStyle w:val="a3"/>
        <w:numPr>
          <w:ilvl w:val="0"/>
          <w:numId w:val="1"/>
        </w:numPr>
        <w:ind w:leftChars="0"/>
      </w:pPr>
      <w:r>
        <w:rPr>
          <w:rFonts w:hint="eastAsia"/>
        </w:rPr>
        <w:t>まとめ</w:t>
      </w:r>
    </w:p>
    <w:p w:rsidR="008A1E94" w:rsidRPr="00EF69C0" w:rsidRDefault="008A1E94" w:rsidP="008A1E94">
      <w:pPr>
        <w:ind w:firstLineChars="100" w:firstLine="210"/>
        <w:rPr>
          <w:color w:val="FF0000"/>
        </w:rPr>
      </w:pPr>
      <w:r>
        <w:rPr>
          <w:rFonts w:hint="eastAsia"/>
        </w:rPr>
        <w:t>以上のことから、条件によっては土壌が水質中の硝酸態窒素を浄化していると考えられるが、その条件については不明であり、また河川の</w:t>
      </w:r>
      <w:r>
        <w:rPr>
          <w:rFonts w:hint="eastAsia"/>
        </w:rPr>
        <w:t>NO</w:t>
      </w:r>
      <w:r w:rsidRPr="00506AA8">
        <w:rPr>
          <w:rFonts w:hint="eastAsia"/>
          <w:vertAlign w:val="subscript"/>
        </w:rPr>
        <w:t>3</w:t>
      </w:r>
      <w:r>
        <w:rPr>
          <w:rFonts w:hint="eastAsia"/>
        </w:rPr>
        <w:t>-N</w:t>
      </w:r>
      <w:r>
        <w:rPr>
          <w:rFonts w:hint="eastAsia"/>
        </w:rPr>
        <w:t>濃度が高いことから十分に働いていないことが示された。そこで、浄化機能をより強化させる一つの方法として、植生管理による窒素軽減策を検討する。</w:t>
      </w:r>
    </w:p>
    <w:p w:rsidR="008A1E94" w:rsidRDefault="008A1E94" w:rsidP="008A1E94">
      <w:pPr>
        <w:ind w:firstLineChars="100" w:firstLine="210"/>
      </w:pPr>
      <w:r>
        <w:rPr>
          <w:rFonts w:hint="eastAsia"/>
        </w:rPr>
        <w:t>水田における窒素浄化機能には、湛水状態下にある土壌が嫌気的環境になることで脱窒反応が生じるプロセスと、窒素を吸収した作物を収穫し水系外に搬出することによる窒素軽減プロセスがある。</w:t>
      </w:r>
    </w:p>
    <w:p w:rsidR="008A1E94" w:rsidRPr="007F7832" w:rsidRDefault="008A1E94" w:rsidP="008A1E94">
      <w:pPr>
        <w:ind w:firstLineChars="100" w:firstLine="210"/>
      </w:pPr>
      <w:r>
        <w:rPr>
          <w:rFonts w:hint="eastAsia"/>
        </w:rPr>
        <w:t>現在、湿地における植生の刈り取りは行なわれているものの、湿地外への搬出はなく、吸収した窒素が再び湿地に戻る循環をしていると考えられる。したがって、植物吸収による窒素を湿地内で循環させず、浄化機能に寄与させるためには、刈り取り後の植物体を湿地外へ搬出する必要がある。</w:t>
      </w:r>
      <w:r w:rsidRPr="007F7832">
        <w:rPr>
          <w:rFonts w:hint="eastAsia"/>
        </w:rPr>
        <w:t>そのため、今後の湿地管理方法の検討を目標</w:t>
      </w:r>
      <w:r w:rsidRPr="007F7832">
        <w:rPr>
          <w:rFonts w:hint="eastAsia"/>
        </w:rPr>
        <w:t>2</w:t>
      </w:r>
      <w:r w:rsidRPr="007F7832">
        <w:rPr>
          <w:rFonts w:hint="eastAsia"/>
        </w:rPr>
        <w:t>として設定した。</w:t>
      </w:r>
    </w:p>
    <w:p w:rsidR="008A1E94" w:rsidRDefault="008A1E94" w:rsidP="008A1E94">
      <w:pPr>
        <w:ind w:firstLineChars="100" w:firstLine="210"/>
      </w:pPr>
      <w:r w:rsidRPr="007F7832">
        <w:rPr>
          <w:rFonts w:hint="eastAsia"/>
        </w:rPr>
        <w:t>硝酸態窒素濃度を低下させるためには、定期的な植物の刈り取りとそれの搬出が必要である。しかし、ヨシな</w:t>
      </w:r>
      <w:r>
        <w:rPr>
          <w:rFonts w:hint="eastAsia"/>
        </w:rPr>
        <w:t>ど大型草本の搬出には費用がかかり、現在は湿地内の園路の下に放置され</w:t>
      </w:r>
      <w:r w:rsidRPr="007F7832">
        <w:rPr>
          <w:rFonts w:hint="eastAsia"/>
        </w:rPr>
        <w:t>ている。そこで、搬出に費用がかからず、利用可能な植物で構成される湿地植生が目指される。具体的には、大町公園が目標とする休耕田の植生を目指す。休耕田に生えるようなセリやクレソンは人間が利用でき、環境教育にも利用可能な植物であるため望ましい。</w:t>
      </w:r>
      <w:r>
        <w:rPr>
          <w:rFonts w:hint="eastAsia"/>
        </w:rPr>
        <w:t xml:space="preserve">　　　　　　　</w:t>
      </w:r>
    </w:p>
    <w:p w:rsidR="008A1E94" w:rsidRPr="007F7832" w:rsidRDefault="008A1E94" w:rsidP="008A1E94">
      <w:pPr>
        <w:ind w:firstLineChars="100" w:firstLine="210"/>
      </w:pPr>
      <w:r w:rsidRPr="007F7832">
        <w:rPr>
          <w:rFonts w:hint="eastAsia"/>
        </w:rPr>
        <w:t>そこで、公園内にコナギ・オモダカ・セリのような湿地性の小型草本植生のエリアを設定する。そして設定エリアに現在優占しているヨシ・ガマなどの大型草本の刈り取りを行い、セリ・オモダカなどが生育しやすい環境を整える。同時に、撹乱によって湿地植生が</w:t>
      </w:r>
      <w:r w:rsidRPr="007F7832">
        <w:rPr>
          <w:rFonts w:hint="eastAsia"/>
        </w:rPr>
        <w:lastRenderedPageBreak/>
        <w:t>維持されるような管理を持続的に行うためのシステム作りを目指す。</w:t>
      </w:r>
    </w:p>
    <w:p w:rsidR="008A1E94" w:rsidRPr="008A1E94" w:rsidRDefault="008A1E94"/>
    <w:sectPr w:rsidR="008A1E94" w:rsidRPr="008A1E94" w:rsidSect="001E046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280" w:rsidRDefault="009A7280" w:rsidP="009A7280">
      <w:r>
        <w:separator/>
      </w:r>
    </w:p>
  </w:endnote>
  <w:endnote w:type="continuationSeparator" w:id="0">
    <w:p w:rsidR="009A7280" w:rsidRDefault="009A7280" w:rsidP="009A7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280" w:rsidRDefault="009A7280" w:rsidP="009A7280">
      <w:r>
        <w:separator/>
      </w:r>
    </w:p>
  </w:footnote>
  <w:footnote w:type="continuationSeparator" w:id="0">
    <w:p w:rsidR="009A7280" w:rsidRDefault="009A7280" w:rsidP="009A7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560BE"/>
    <w:multiLevelType w:val="hybridMultilevel"/>
    <w:tmpl w:val="06A4447C"/>
    <w:lvl w:ilvl="0" w:tplc="0409000F">
      <w:start w:val="1"/>
      <w:numFmt w:val="decimal"/>
      <w:lvlText w:val="%1."/>
      <w:lvlJc w:val="left"/>
      <w:pPr>
        <w:ind w:left="420" w:hanging="420"/>
      </w:pPr>
    </w:lvl>
    <w:lvl w:ilvl="1" w:tplc="E83CDE4A">
      <w:start w:val="1"/>
      <w:numFmt w:val="upperLetter"/>
      <w:lvlText w:val="%2)"/>
      <w:lvlJc w:val="left"/>
      <w:pPr>
        <w:ind w:left="704"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1E94"/>
    <w:rsid w:val="00087E98"/>
    <w:rsid w:val="001E0466"/>
    <w:rsid w:val="00510878"/>
    <w:rsid w:val="008A1E94"/>
    <w:rsid w:val="009119CF"/>
    <w:rsid w:val="00936C44"/>
    <w:rsid w:val="009A7280"/>
    <w:rsid w:val="00A658D1"/>
    <w:rsid w:val="00AE1489"/>
    <w:rsid w:val="00C62A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1E94"/>
    <w:pPr>
      <w:ind w:leftChars="400" w:left="840"/>
    </w:pPr>
    <w:rPr>
      <w:rFonts w:ascii="Century" w:eastAsia="ＭＳ 明朝" w:hAnsi="Century" w:cs="Times New Roman"/>
    </w:rPr>
  </w:style>
  <w:style w:type="paragraph" w:styleId="a4">
    <w:name w:val="Balloon Text"/>
    <w:basedOn w:val="a"/>
    <w:link w:val="a5"/>
    <w:uiPriority w:val="99"/>
    <w:semiHidden/>
    <w:unhideWhenUsed/>
    <w:rsid w:val="008A1E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1E94"/>
    <w:rPr>
      <w:rFonts w:asciiTheme="majorHAnsi" w:eastAsiaTheme="majorEastAsia" w:hAnsiTheme="majorHAnsi" w:cstheme="majorBidi"/>
      <w:sz w:val="18"/>
      <w:szCs w:val="18"/>
    </w:rPr>
  </w:style>
  <w:style w:type="paragraph" w:styleId="a6">
    <w:name w:val="header"/>
    <w:basedOn w:val="a"/>
    <w:link w:val="a7"/>
    <w:uiPriority w:val="99"/>
    <w:semiHidden/>
    <w:unhideWhenUsed/>
    <w:rsid w:val="009A7280"/>
    <w:pPr>
      <w:tabs>
        <w:tab w:val="center" w:pos="4252"/>
        <w:tab w:val="right" w:pos="8504"/>
      </w:tabs>
      <w:snapToGrid w:val="0"/>
    </w:pPr>
  </w:style>
  <w:style w:type="character" w:customStyle="1" w:styleId="a7">
    <w:name w:val="ヘッダー (文字)"/>
    <w:basedOn w:val="a0"/>
    <w:link w:val="a6"/>
    <w:uiPriority w:val="99"/>
    <w:semiHidden/>
    <w:rsid w:val="009A7280"/>
  </w:style>
  <w:style w:type="paragraph" w:styleId="a8">
    <w:name w:val="footer"/>
    <w:basedOn w:val="a"/>
    <w:link w:val="a9"/>
    <w:uiPriority w:val="99"/>
    <w:semiHidden/>
    <w:unhideWhenUsed/>
    <w:rsid w:val="009A7280"/>
    <w:pPr>
      <w:tabs>
        <w:tab w:val="center" w:pos="4252"/>
        <w:tab w:val="right" w:pos="8504"/>
      </w:tabs>
      <w:snapToGrid w:val="0"/>
    </w:pPr>
  </w:style>
  <w:style w:type="character" w:customStyle="1" w:styleId="a9">
    <w:name w:val="フッター (文字)"/>
    <w:basedOn w:val="a0"/>
    <w:link w:val="a8"/>
    <w:uiPriority w:val="99"/>
    <w:semiHidden/>
    <w:rsid w:val="009A72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2.xml"/><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E:\&#12503;&#12525;&#12472;&#12455;&#12463;&#12488;&#23455;&#32722;\&#12410;&#12429;&#12375;&#12410;&#12429;&#12375;&#12410;&#12429;&#1237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2503;&#12525;&#12472;&#12455;&#12463;&#12488;&#23455;&#32722;\&#12410;&#12429;&#12375;&#12410;&#12429;&#12375;&#12410;&#12429;&#1237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2503;&#12525;&#12472;&#12455;&#12463;&#12488;&#23455;&#32722;\PJ&#23455;&#32722;&#22303;&#22732;&#35519;&#26619;&#32080;&#2652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2503;&#12525;&#12472;&#12455;&#12463;&#12488;&#23455;&#32722;\PJ&#23455;&#32722;&#22303;&#22732;&#35519;&#26619;&#32080;&#265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b="0"/>
            </a:pPr>
            <a:r>
              <a:rPr lang="ja-JP" altLang="en-US" sz="900" b="0"/>
              <a:t>河川水中の</a:t>
            </a:r>
            <a:r>
              <a:rPr lang="en-US" altLang="ja-JP" sz="900" b="0"/>
              <a:t>NO</a:t>
            </a:r>
            <a:r>
              <a:rPr lang="en-US" altLang="ja-JP" sz="900" b="0" baseline="-25000"/>
              <a:t>3</a:t>
            </a:r>
            <a:r>
              <a:rPr lang="en-US" altLang="ja-JP" sz="900" b="0"/>
              <a:t>-N</a:t>
            </a:r>
            <a:r>
              <a:rPr lang="ja-JP" altLang="en-US" sz="900" b="0"/>
              <a:t>濃度</a:t>
            </a:r>
          </a:p>
        </c:rich>
      </c:tx>
      <c:layout/>
      <c:spPr>
        <a:noFill/>
        <a:ln w="25400">
          <a:noFill/>
        </a:ln>
      </c:spPr>
    </c:title>
    <c:plotArea>
      <c:layout/>
      <c:lineChart>
        <c:grouping val="standard"/>
        <c:ser>
          <c:idx val="0"/>
          <c:order val="0"/>
          <c:spPr>
            <a:ln>
              <a:solidFill>
                <a:prstClr val="black"/>
              </a:solidFill>
            </a:ln>
          </c:spPr>
          <c:marker>
            <c:spPr>
              <a:solidFill>
                <a:prstClr val="black"/>
              </a:solidFill>
              <a:ln>
                <a:solidFill>
                  <a:prstClr val="black"/>
                </a:solidFill>
              </a:ln>
            </c:spPr>
          </c:marker>
          <c:cat>
            <c:strRef>
              <c:f>大町公園!$D$3:$D$11</c:f>
              <c:strCache>
                <c:ptCount val="9"/>
                <c:pt idx="0">
                  <c:v>S11</c:v>
                </c:pt>
                <c:pt idx="1">
                  <c:v>R1</c:v>
                </c:pt>
                <c:pt idx="2">
                  <c:v>R2</c:v>
                </c:pt>
                <c:pt idx="3">
                  <c:v>R3</c:v>
                </c:pt>
                <c:pt idx="4">
                  <c:v>R4</c:v>
                </c:pt>
                <c:pt idx="5">
                  <c:v>R5</c:v>
                </c:pt>
                <c:pt idx="6">
                  <c:v>R6</c:v>
                </c:pt>
                <c:pt idx="7">
                  <c:v>R7</c:v>
                </c:pt>
                <c:pt idx="8">
                  <c:v>R8</c:v>
                </c:pt>
              </c:strCache>
            </c:strRef>
          </c:cat>
          <c:val>
            <c:numRef>
              <c:f>大町公園!$E$3:$E$11</c:f>
              <c:numCache>
                <c:formatCode>0.00_ </c:formatCode>
                <c:ptCount val="9"/>
                <c:pt idx="0">
                  <c:v>57.386823999999997</c:v>
                </c:pt>
                <c:pt idx="1">
                  <c:v>12.834088000000001</c:v>
                </c:pt>
                <c:pt idx="2">
                  <c:v>14.193252000000001</c:v>
                </c:pt>
                <c:pt idx="3">
                  <c:v>16.733040000000003</c:v>
                </c:pt>
                <c:pt idx="4">
                  <c:v>19.709008000000001</c:v>
                </c:pt>
                <c:pt idx="5">
                  <c:v>22.208115999999986</c:v>
                </c:pt>
                <c:pt idx="6">
                  <c:v>24.635356000000005</c:v>
                </c:pt>
                <c:pt idx="7">
                  <c:v>23.380603999999973</c:v>
                </c:pt>
                <c:pt idx="8">
                  <c:v>21.310896000000021</c:v>
                </c:pt>
              </c:numCache>
            </c:numRef>
          </c:val>
        </c:ser>
        <c:hiLowLines/>
        <c:marker val="1"/>
        <c:axId val="89312640"/>
        <c:axId val="89368448"/>
      </c:lineChart>
      <c:catAx>
        <c:axId val="89312640"/>
        <c:scaling>
          <c:orientation val="minMax"/>
        </c:scaling>
        <c:axPos val="b"/>
        <c:title>
          <c:tx>
            <c:rich>
              <a:bodyPr/>
              <a:lstStyle/>
              <a:p>
                <a:pPr>
                  <a:defRPr sz="900" b="0"/>
                </a:pPr>
                <a:r>
                  <a:rPr lang="ja-JP" altLang="en-US" sz="900" b="0"/>
                  <a:t>採水地点</a:t>
                </a:r>
              </a:p>
            </c:rich>
          </c:tx>
          <c:layout/>
          <c:spPr>
            <a:noFill/>
            <a:ln w="25400">
              <a:noFill/>
            </a:ln>
          </c:spPr>
        </c:title>
        <c:numFmt formatCode="@" sourceLinked="1"/>
        <c:majorTickMark val="none"/>
        <c:tickLblPos val="nextTo"/>
        <c:txPr>
          <a:bodyPr/>
          <a:lstStyle/>
          <a:p>
            <a:pPr>
              <a:defRPr sz="900"/>
            </a:pPr>
            <a:endParaRPr lang="ja-JP"/>
          </a:p>
        </c:txPr>
        <c:crossAx val="89368448"/>
        <c:crosses val="autoZero"/>
        <c:auto val="1"/>
        <c:lblAlgn val="ctr"/>
        <c:lblOffset val="100"/>
      </c:catAx>
      <c:valAx>
        <c:axId val="89368448"/>
        <c:scaling>
          <c:orientation val="minMax"/>
          <c:max val="90"/>
          <c:min val="0"/>
        </c:scaling>
        <c:axPos val="l"/>
        <c:majorGridlines/>
        <c:title>
          <c:tx>
            <c:rich>
              <a:bodyPr/>
              <a:lstStyle/>
              <a:p>
                <a:pPr>
                  <a:defRPr b="0"/>
                </a:pPr>
                <a:r>
                  <a:rPr lang="en-US" altLang="ja-JP" b="0"/>
                  <a:t>NO</a:t>
                </a:r>
                <a:r>
                  <a:rPr lang="en-US" altLang="ja-JP" b="0" baseline="-25000"/>
                  <a:t>3</a:t>
                </a:r>
                <a:r>
                  <a:rPr lang="en-US" altLang="ja-JP" b="0"/>
                  <a:t>-N</a:t>
                </a:r>
                <a:r>
                  <a:rPr lang="ja-JP" altLang="en-US" b="0"/>
                  <a:t>濃度</a:t>
                </a:r>
                <a:r>
                  <a:rPr lang="en-US" altLang="ja-JP" b="0"/>
                  <a:t>(mg/L)</a:t>
                </a:r>
                <a:endParaRPr lang="ja-JP" altLang="en-US" b="0"/>
              </a:p>
            </c:rich>
          </c:tx>
          <c:layout/>
          <c:spPr>
            <a:noFill/>
            <a:ln w="25400">
              <a:noFill/>
            </a:ln>
          </c:spPr>
        </c:title>
        <c:numFmt formatCode="0_ " sourceLinked="0"/>
        <c:tickLblPos val="nextTo"/>
        <c:crossAx val="8931264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sz="900" b="0"/>
              <a:t>湧水中の</a:t>
            </a:r>
            <a:r>
              <a:rPr lang="en-US" altLang="ja-JP" sz="900" b="0"/>
              <a:t>NO</a:t>
            </a:r>
            <a:r>
              <a:rPr lang="en-US" altLang="ja-JP" sz="900" b="0" baseline="-25000"/>
              <a:t>3</a:t>
            </a:r>
            <a:r>
              <a:rPr lang="en-US" altLang="ja-JP" sz="900" b="0"/>
              <a:t>-N</a:t>
            </a:r>
            <a:r>
              <a:rPr lang="ja-JP" altLang="en-US" sz="900" b="0"/>
              <a:t>濃度</a:t>
            </a:r>
          </a:p>
        </c:rich>
      </c:tx>
      <c:layout/>
      <c:spPr>
        <a:noFill/>
        <a:ln w="25400">
          <a:noFill/>
        </a:ln>
      </c:spPr>
    </c:title>
    <c:plotArea>
      <c:layout/>
      <c:barChart>
        <c:barDir val="col"/>
        <c:grouping val="clustered"/>
        <c:ser>
          <c:idx val="0"/>
          <c:order val="0"/>
          <c:spPr>
            <a:solidFill>
              <a:schemeClr val="tx1"/>
            </a:solidFill>
            <a:ln>
              <a:solidFill>
                <a:schemeClr val="tx1"/>
              </a:solidFill>
            </a:ln>
          </c:spPr>
          <c:cat>
            <c:strRef>
              <c:f>大町公園!$A$3:$A$19</c:f>
              <c:strCache>
                <c:ptCount val="1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strCache>
            </c:strRef>
          </c:cat>
          <c:val>
            <c:numRef>
              <c:f>大町公園!$B$3:$B$19</c:f>
              <c:numCache>
                <c:formatCode>0.00_ </c:formatCode>
                <c:ptCount val="17"/>
                <c:pt idx="0">
                  <c:v>66.604007999999979</c:v>
                </c:pt>
                <c:pt idx="1">
                  <c:v>50.474839999999993</c:v>
                </c:pt>
                <c:pt idx="2">
                  <c:v>49.624854000000006</c:v>
                </c:pt>
                <c:pt idx="3">
                  <c:v>80.771495999999999</c:v>
                </c:pt>
                <c:pt idx="4">
                  <c:v>41.419019999999996</c:v>
                </c:pt>
                <c:pt idx="5">
                  <c:v>4.8230660000000007</c:v>
                </c:pt>
                <c:pt idx="6">
                  <c:v>68.00543399999998</c:v>
                </c:pt>
                <c:pt idx="7">
                  <c:v>14.61903600000001</c:v>
                </c:pt>
                <c:pt idx="8">
                  <c:v>46.177902000000003</c:v>
                </c:pt>
                <c:pt idx="9">
                  <c:v>62.990268000000007</c:v>
                </c:pt>
                <c:pt idx="10">
                  <c:v>57.386823999999997</c:v>
                </c:pt>
                <c:pt idx="11">
                  <c:v>35.715232000000036</c:v>
                </c:pt>
                <c:pt idx="12">
                  <c:v>30.785267999999977</c:v>
                </c:pt>
                <c:pt idx="13">
                  <c:v>1.479169999999999</c:v>
                </c:pt>
                <c:pt idx="14">
                  <c:v>0.208372</c:v>
                </c:pt>
                <c:pt idx="15">
                  <c:v>24.316696</c:v>
                </c:pt>
                <c:pt idx="16">
                  <c:v>13.946008000000001</c:v>
                </c:pt>
              </c:numCache>
            </c:numRef>
          </c:val>
        </c:ser>
        <c:axId val="106242432"/>
        <c:axId val="106244352"/>
      </c:barChart>
      <c:catAx>
        <c:axId val="106242432"/>
        <c:scaling>
          <c:orientation val="minMax"/>
        </c:scaling>
        <c:axPos val="b"/>
        <c:title>
          <c:tx>
            <c:rich>
              <a:bodyPr/>
              <a:lstStyle/>
              <a:p>
                <a:pPr>
                  <a:defRPr/>
                </a:pPr>
                <a:r>
                  <a:rPr lang="ja-JP" altLang="en-US" sz="900" b="0"/>
                  <a:t>採水地点</a:t>
                </a:r>
                <a:endParaRPr lang="en-US" altLang="ja-JP" sz="900" b="0"/>
              </a:p>
            </c:rich>
          </c:tx>
          <c:layout/>
          <c:spPr>
            <a:noFill/>
            <a:ln w="25400">
              <a:noFill/>
            </a:ln>
          </c:spPr>
        </c:title>
        <c:numFmt formatCode="@" sourceLinked="1"/>
        <c:majorTickMark val="none"/>
        <c:tickLblPos val="nextTo"/>
        <c:crossAx val="106244352"/>
        <c:crosses val="autoZero"/>
        <c:auto val="1"/>
        <c:lblAlgn val="ctr"/>
        <c:lblOffset val="100"/>
      </c:catAx>
      <c:valAx>
        <c:axId val="106244352"/>
        <c:scaling>
          <c:orientation val="minMax"/>
          <c:max val="90"/>
          <c:min val="0"/>
        </c:scaling>
        <c:axPos val="l"/>
        <c:majorGridlines/>
        <c:title>
          <c:tx>
            <c:rich>
              <a:bodyPr/>
              <a:lstStyle/>
              <a:p>
                <a:pPr>
                  <a:defRPr/>
                </a:pPr>
                <a:r>
                  <a:rPr lang="en-US" altLang="ja-JP" sz="900" b="0"/>
                  <a:t>NO</a:t>
                </a:r>
                <a:r>
                  <a:rPr lang="en-US" altLang="ja-JP" sz="900" b="0" baseline="-25000"/>
                  <a:t>3</a:t>
                </a:r>
                <a:r>
                  <a:rPr lang="en-US" altLang="ja-JP" sz="900" b="0"/>
                  <a:t>-N</a:t>
                </a:r>
                <a:r>
                  <a:rPr lang="ja-JP" altLang="en-US" sz="900" b="0"/>
                  <a:t>濃度</a:t>
                </a:r>
                <a:r>
                  <a:rPr lang="en-US" altLang="ja-JP" sz="900" b="0"/>
                  <a:t>(mg/L)</a:t>
                </a:r>
                <a:endParaRPr lang="ja-JP" altLang="en-US" sz="900" b="0"/>
              </a:p>
            </c:rich>
          </c:tx>
          <c:layout/>
          <c:spPr>
            <a:noFill/>
            <a:ln w="25400">
              <a:noFill/>
            </a:ln>
          </c:spPr>
        </c:title>
        <c:numFmt formatCode="0_ " sourceLinked="0"/>
        <c:tickLblPos val="nextTo"/>
        <c:crossAx val="10624243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plotArea>
      <c:layout>
        <c:manualLayout>
          <c:layoutTarget val="inner"/>
          <c:xMode val="edge"/>
          <c:yMode val="edge"/>
          <c:x val="0.17628705148205942"/>
          <c:y val="7.7540106951871704E-2"/>
          <c:w val="0.66223074289626838"/>
          <c:h val="0.77540106951871723"/>
        </c:manualLayout>
      </c:layout>
      <c:barChart>
        <c:barDir val="col"/>
        <c:grouping val="stacked"/>
        <c:ser>
          <c:idx val="0"/>
          <c:order val="0"/>
          <c:tx>
            <c:strRef>
              <c:f>Sheet1!$C$33</c:f>
              <c:strCache>
                <c:ptCount val="1"/>
                <c:pt idx="0">
                  <c:v>NH4-N</c:v>
                </c:pt>
              </c:strCache>
            </c:strRef>
          </c:tx>
          <c:spPr>
            <a:pattFill prst="pct75">
              <a:fgClr>
                <a:schemeClr val="tx1"/>
              </a:fgClr>
              <a:bgClr>
                <a:schemeClr val="bg1"/>
              </a:bgClr>
            </a:pattFill>
            <a:ln w="12700">
              <a:solidFill>
                <a:srgbClr val="000000"/>
              </a:solidFill>
              <a:prstDash val="solid"/>
            </a:ln>
          </c:spPr>
          <c:cat>
            <c:strRef>
              <c:f>Sheet1!$B$34:$B$39</c:f>
              <c:strCache>
                <c:ptCount val="6"/>
                <c:pt idx="0">
                  <c:v>S4</c:v>
                </c:pt>
                <c:pt idx="1">
                  <c:v>S6</c:v>
                </c:pt>
                <c:pt idx="2">
                  <c:v>S10</c:v>
                </c:pt>
                <c:pt idx="3">
                  <c:v>S13</c:v>
                </c:pt>
                <c:pt idx="4">
                  <c:v>S15</c:v>
                </c:pt>
                <c:pt idx="5">
                  <c:v>S17</c:v>
                </c:pt>
              </c:strCache>
            </c:strRef>
          </c:cat>
          <c:val>
            <c:numRef>
              <c:f>Sheet1!$C$34:$C$39</c:f>
              <c:numCache>
                <c:formatCode>General</c:formatCode>
                <c:ptCount val="6"/>
                <c:pt idx="0">
                  <c:v>2119.2951666666668</c:v>
                </c:pt>
                <c:pt idx="1">
                  <c:v>8587.5967500000006</c:v>
                </c:pt>
                <c:pt idx="2">
                  <c:v>2685.3402500000002</c:v>
                </c:pt>
                <c:pt idx="3">
                  <c:v>1734.6043333333312</c:v>
                </c:pt>
                <c:pt idx="4">
                  <c:v>3822.9259999999995</c:v>
                </c:pt>
                <c:pt idx="5">
                  <c:v>3234.8985833333354</c:v>
                </c:pt>
              </c:numCache>
            </c:numRef>
          </c:val>
        </c:ser>
        <c:ser>
          <c:idx val="1"/>
          <c:order val="1"/>
          <c:tx>
            <c:strRef>
              <c:f>Sheet1!$D$33</c:f>
              <c:strCache>
                <c:ptCount val="1"/>
                <c:pt idx="0">
                  <c:v>NO3-N</c:v>
                </c:pt>
              </c:strCache>
            </c:strRef>
          </c:tx>
          <c:spPr>
            <a:pattFill prst="ltVert">
              <a:fgClr>
                <a:schemeClr val="tx1"/>
              </a:fgClr>
              <a:bgClr>
                <a:schemeClr val="bg1"/>
              </a:bgClr>
            </a:pattFill>
            <a:ln w="12700">
              <a:solidFill>
                <a:srgbClr val="000000"/>
              </a:solidFill>
              <a:prstDash val="solid"/>
            </a:ln>
          </c:spPr>
          <c:cat>
            <c:strRef>
              <c:f>Sheet1!$B$34:$B$39</c:f>
              <c:strCache>
                <c:ptCount val="6"/>
                <c:pt idx="0">
                  <c:v>S4</c:v>
                </c:pt>
                <c:pt idx="1">
                  <c:v>S6</c:v>
                </c:pt>
                <c:pt idx="2">
                  <c:v>S10</c:v>
                </c:pt>
                <c:pt idx="3">
                  <c:v>S13</c:v>
                </c:pt>
                <c:pt idx="4">
                  <c:v>S15</c:v>
                </c:pt>
                <c:pt idx="5">
                  <c:v>S17</c:v>
                </c:pt>
              </c:strCache>
            </c:strRef>
          </c:cat>
          <c:val>
            <c:numRef>
              <c:f>Sheet1!$D$34:$D$39</c:f>
              <c:numCache>
                <c:formatCode>General</c:formatCode>
                <c:ptCount val="6"/>
                <c:pt idx="0">
                  <c:v>355.88366666666678</c:v>
                </c:pt>
                <c:pt idx="1">
                  <c:v>304.87766666666704</c:v>
                </c:pt>
                <c:pt idx="2">
                  <c:v>262.37266666666704</c:v>
                </c:pt>
                <c:pt idx="3">
                  <c:v>1086.9696666666678</c:v>
                </c:pt>
                <c:pt idx="4">
                  <c:v>180.19633333333351</c:v>
                </c:pt>
                <c:pt idx="5">
                  <c:v>367.21833333333342</c:v>
                </c:pt>
              </c:numCache>
            </c:numRef>
          </c:val>
        </c:ser>
        <c:overlap val="100"/>
        <c:axId val="106645376"/>
        <c:axId val="106646912"/>
      </c:barChart>
      <c:barChart>
        <c:barDir val="col"/>
        <c:grouping val="clustered"/>
        <c:ser>
          <c:idx val="2"/>
          <c:order val="2"/>
          <c:tx>
            <c:strRef>
              <c:f>Sheet1!$E$33</c:f>
              <c:strCache>
                <c:ptCount val="1"/>
                <c:pt idx="0">
                  <c:v>水中硝酸量</c:v>
                </c:pt>
              </c:strCache>
            </c:strRef>
          </c:tx>
          <c:spPr>
            <a:solidFill>
              <a:schemeClr val="bg1"/>
            </a:solidFill>
            <a:ln w="25400">
              <a:solidFill>
                <a:srgbClr val="000000"/>
              </a:solidFill>
            </a:ln>
          </c:spPr>
          <c:cat>
            <c:strRef>
              <c:f>Sheet1!$B$34:$B$39</c:f>
              <c:strCache>
                <c:ptCount val="6"/>
                <c:pt idx="0">
                  <c:v>S4</c:v>
                </c:pt>
                <c:pt idx="1">
                  <c:v>S6</c:v>
                </c:pt>
                <c:pt idx="2">
                  <c:v>S10</c:v>
                </c:pt>
                <c:pt idx="3">
                  <c:v>S13</c:v>
                </c:pt>
                <c:pt idx="4">
                  <c:v>S15</c:v>
                </c:pt>
                <c:pt idx="5">
                  <c:v>S17</c:v>
                </c:pt>
              </c:strCache>
            </c:strRef>
          </c:cat>
          <c:val>
            <c:numRef>
              <c:f>Sheet1!$E$34:$E$39</c:f>
              <c:numCache>
                <c:formatCode>0.00_ </c:formatCode>
                <c:ptCount val="6"/>
                <c:pt idx="0">
                  <c:v>80.771495999999999</c:v>
                </c:pt>
                <c:pt idx="1">
                  <c:v>4.8230660000000007</c:v>
                </c:pt>
                <c:pt idx="2">
                  <c:v>62.990268000000007</c:v>
                </c:pt>
                <c:pt idx="3">
                  <c:v>30.785267999999977</c:v>
                </c:pt>
                <c:pt idx="4">
                  <c:v>0.208372</c:v>
                </c:pt>
                <c:pt idx="5">
                  <c:v>13.946008000000001</c:v>
                </c:pt>
              </c:numCache>
            </c:numRef>
          </c:val>
        </c:ser>
        <c:gapWidth val="500"/>
        <c:overlap val="-100"/>
        <c:axId val="106661376"/>
        <c:axId val="106662912"/>
      </c:barChart>
      <c:catAx>
        <c:axId val="106645376"/>
        <c:scaling>
          <c:orientation val="minMax"/>
        </c:scaling>
        <c:axPos val="b"/>
        <c:numFmt formatCode="General" sourceLinked="1"/>
        <c:majorTickMark val="in"/>
        <c:tickLblPos val="nextTo"/>
        <c:spPr>
          <a:ln w="3175">
            <a:solidFill>
              <a:srgbClr val="000000"/>
            </a:solidFill>
            <a:prstDash val="solid"/>
          </a:ln>
        </c:spPr>
        <c:txPr>
          <a:bodyPr rot="0" vert="horz"/>
          <a:lstStyle/>
          <a:p>
            <a:pPr>
              <a:defRPr/>
            </a:pPr>
            <a:endParaRPr lang="ja-JP"/>
          </a:p>
        </c:txPr>
        <c:crossAx val="106646912"/>
        <c:crosses val="autoZero"/>
        <c:auto val="1"/>
        <c:lblAlgn val="ctr"/>
        <c:lblOffset val="100"/>
        <c:tickLblSkip val="1"/>
        <c:tickMarkSkip val="1"/>
      </c:catAx>
      <c:valAx>
        <c:axId val="106646912"/>
        <c:scaling>
          <c:orientation val="minMax"/>
        </c:scaling>
        <c:axPos val="l"/>
        <c:majorGridlines>
          <c:spPr>
            <a:ln w="3175">
              <a:solidFill>
                <a:srgbClr val="000000"/>
              </a:solidFill>
              <a:prstDash val="sysDash"/>
            </a:ln>
          </c:spPr>
        </c:majorGridlines>
        <c:title>
          <c:tx>
            <c:rich>
              <a:bodyPr/>
              <a:lstStyle/>
              <a:p>
                <a:pPr>
                  <a:defRPr/>
                </a:pPr>
                <a:r>
                  <a:rPr lang="en-US"/>
                  <a:t>mg kg-1</a:t>
                </a:r>
              </a:p>
            </c:rich>
          </c:tx>
          <c:layout>
            <c:manualLayout>
              <c:xMode val="edge"/>
              <c:yMode val="edge"/>
              <c:x val="2.4960998439937598E-2"/>
              <c:y val="0.36898395721925198"/>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a:pPr>
            <a:endParaRPr lang="ja-JP"/>
          </a:p>
        </c:txPr>
        <c:crossAx val="106645376"/>
        <c:crosses val="autoZero"/>
        <c:crossBetween val="between"/>
      </c:valAx>
      <c:catAx>
        <c:axId val="106661376"/>
        <c:scaling>
          <c:orientation val="minMax"/>
        </c:scaling>
        <c:delete val="1"/>
        <c:axPos val="b"/>
        <c:tickLblPos val="none"/>
        <c:crossAx val="106662912"/>
        <c:crosses val="autoZero"/>
        <c:auto val="1"/>
        <c:lblAlgn val="ctr"/>
        <c:lblOffset val="100"/>
      </c:catAx>
      <c:valAx>
        <c:axId val="106662912"/>
        <c:scaling>
          <c:orientation val="minMax"/>
        </c:scaling>
        <c:axPos val="r"/>
        <c:title>
          <c:tx>
            <c:rich>
              <a:bodyPr/>
              <a:lstStyle/>
              <a:p>
                <a:pPr>
                  <a:defRPr/>
                </a:pPr>
                <a:r>
                  <a:rPr lang="en-US"/>
                  <a:t>mg L-1</a:t>
                </a:r>
              </a:p>
            </c:rich>
          </c:tx>
          <c:layout>
            <c:manualLayout>
              <c:xMode val="edge"/>
              <c:yMode val="edge"/>
              <c:x val="0.91271779071094306"/>
              <c:y val="0.37967914438502681"/>
            </c:manualLayout>
          </c:layout>
          <c:spPr>
            <a:noFill/>
            <a:ln w="25400">
              <a:noFill/>
            </a:ln>
          </c:spPr>
        </c:title>
        <c:numFmt formatCode="0.00_ " sourceLinked="1"/>
        <c:majorTickMark val="in"/>
        <c:tickLblPos val="nextTo"/>
        <c:spPr>
          <a:ln w="3175">
            <a:solidFill>
              <a:srgbClr val="000000"/>
            </a:solidFill>
            <a:prstDash val="solid"/>
          </a:ln>
        </c:spPr>
        <c:txPr>
          <a:bodyPr rot="0" vert="horz"/>
          <a:lstStyle/>
          <a:p>
            <a:pPr>
              <a:defRPr/>
            </a:pPr>
            <a:endParaRPr lang="ja-JP"/>
          </a:p>
        </c:txPr>
        <c:crossAx val="106661376"/>
        <c:crosses val="max"/>
        <c:crossBetween val="between"/>
      </c:valAx>
      <c:spPr>
        <a:noFill/>
        <a:ln w="12700">
          <a:solidFill>
            <a:srgbClr val="808080"/>
          </a:solidFill>
          <a:prstDash val="solid"/>
        </a:ln>
      </c:spPr>
    </c:plotArea>
    <c:legend>
      <c:legendPos val="b"/>
      <c:layout/>
      <c:spPr>
        <a:solidFill>
          <a:srgbClr val="FFFFFF"/>
        </a:solidFill>
        <a:ln w="3175">
          <a:solidFill>
            <a:srgbClr val="000000"/>
          </a:solidFill>
          <a:prstDash val="solid"/>
        </a:ln>
      </c:spPr>
    </c:legend>
    <c:plotVisOnly val="1"/>
    <c:dispBlanksAs val="gap"/>
  </c:chart>
  <c:spPr>
    <a:solidFill>
      <a:srgbClr val="FFFFFF"/>
    </a:solidFill>
    <a:ln w="3175">
      <a:solidFill>
        <a:srgbClr val="000000"/>
      </a:solidFill>
      <a:prstDash val="solid"/>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5226368044238797"/>
          <c:y val="8.1272225030754819E-2"/>
          <c:w val="0.77777934063814391"/>
          <c:h val="0.69611427526342262"/>
        </c:manualLayout>
      </c:layout>
      <c:scatterChart>
        <c:scatterStyle val="lineMarker"/>
        <c:ser>
          <c:idx val="0"/>
          <c:order val="0"/>
          <c:tx>
            <c:strRef>
              <c:f>Sheet1!$F$41</c:f>
              <c:strCache>
                <c:ptCount val="1"/>
                <c:pt idx="0">
                  <c:v>水中硝酸量</c:v>
                </c:pt>
              </c:strCache>
            </c:strRef>
          </c:tx>
          <c:spPr>
            <a:ln w="28575">
              <a:noFill/>
            </a:ln>
          </c:spPr>
          <c:marker>
            <c:symbol val="diamond"/>
            <c:size val="5"/>
            <c:spPr>
              <a:solidFill>
                <a:srgbClr val="000080"/>
              </a:solidFill>
              <a:ln>
                <a:solidFill>
                  <a:srgbClr val="000080"/>
                </a:solidFill>
                <a:prstDash val="solid"/>
              </a:ln>
            </c:spPr>
          </c:marker>
          <c:trendline>
            <c:spPr>
              <a:ln w="25400">
                <a:solidFill>
                  <a:srgbClr val="000000"/>
                </a:solidFill>
                <a:prstDash val="solid"/>
              </a:ln>
            </c:spPr>
            <c:trendlineType val="linear"/>
            <c:dispRSqr val="1"/>
            <c:dispEq val="1"/>
            <c:trendlineLbl>
              <c:layout>
                <c:manualLayout>
                  <c:x val="9.1091497560573567E-2"/>
                  <c:y val="-0.46529417993008981"/>
                </c:manualLayout>
              </c:layout>
              <c:numFmt formatCode="General" sourceLinked="0"/>
              <c:spPr>
                <a:noFill/>
                <a:ln w="25400">
                  <a:noFill/>
                </a:ln>
              </c:spPr>
            </c:trendlineLbl>
          </c:trendline>
          <c:trendline>
            <c:spPr>
              <a:ln w="25400">
                <a:solidFill>
                  <a:srgbClr val="000000"/>
                </a:solidFill>
                <a:prstDash val="solid"/>
              </a:ln>
            </c:spPr>
            <c:trendlineType val="linear"/>
          </c:trendline>
          <c:xVal>
            <c:numRef>
              <c:f>(Sheet1!$E$42,Sheet1!$E$44:$E$47)</c:f>
              <c:numCache>
                <c:formatCode>General</c:formatCode>
                <c:ptCount val="5"/>
                <c:pt idx="0">
                  <c:v>2475.1788333333352</c:v>
                </c:pt>
                <c:pt idx="1">
                  <c:v>2947.7129166666668</c:v>
                </c:pt>
                <c:pt idx="2">
                  <c:v>2821.5740000000001</c:v>
                </c:pt>
                <c:pt idx="3">
                  <c:v>4003.1223333333355</c:v>
                </c:pt>
                <c:pt idx="4">
                  <c:v>3602.1169166666664</c:v>
                </c:pt>
              </c:numCache>
            </c:numRef>
          </c:xVal>
          <c:yVal>
            <c:numRef>
              <c:f>(Sheet1!$F$42,Sheet1!$F$44:$F$47)</c:f>
              <c:numCache>
                <c:formatCode>0.00_ </c:formatCode>
                <c:ptCount val="5"/>
                <c:pt idx="0">
                  <c:v>80.771495999999999</c:v>
                </c:pt>
                <c:pt idx="1">
                  <c:v>62.990268000000007</c:v>
                </c:pt>
                <c:pt idx="2">
                  <c:v>30.785267999999977</c:v>
                </c:pt>
                <c:pt idx="3">
                  <c:v>0.208372</c:v>
                </c:pt>
                <c:pt idx="4">
                  <c:v>13.946008000000001</c:v>
                </c:pt>
              </c:numCache>
            </c:numRef>
          </c:yVal>
        </c:ser>
        <c:axId val="106561920"/>
        <c:axId val="106563840"/>
      </c:scatterChart>
      <c:valAx>
        <c:axId val="106561920"/>
        <c:scaling>
          <c:orientation val="minMax"/>
        </c:scaling>
        <c:axPos val="b"/>
        <c:title>
          <c:tx>
            <c:rich>
              <a:bodyPr/>
              <a:lstStyle/>
              <a:p>
                <a:pPr>
                  <a:defRPr/>
                </a:pPr>
                <a:r>
                  <a:rPr lang="ja-JP"/>
                  <a:t>土壌中無機態窒素量</a:t>
                </a:r>
              </a:p>
            </c:rich>
          </c:tx>
          <c:layout>
            <c:manualLayout>
              <c:xMode val="edge"/>
              <c:yMode val="edge"/>
              <c:x val="0.39917775683544937"/>
              <c:y val="0.81625582530888674"/>
            </c:manualLayout>
          </c:layout>
          <c:spPr>
            <a:noFill/>
            <a:ln w="25400">
              <a:noFill/>
            </a:ln>
          </c:spPr>
        </c:title>
        <c:numFmt formatCode="General" sourceLinked="1"/>
        <c:majorTickMark val="in"/>
        <c:tickLblPos val="nextTo"/>
        <c:spPr>
          <a:ln w="3175">
            <a:solidFill>
              <a:srgbClr val="000000"/>
            </a:solidFill>
            <a:prstDash val="solid"/>
          </a:ln>
        </c:spPr>
        <c:txPr>
          <a:bodyPr rot="0" vert="horz"/>
          <a:lstStyle/>
          <a:p>
            <a:pPr>
              <a:defRPr/>
            </a:pPr>
            <a:endParaRPr lang="ja-JP"/>
          </a:p>
        </c:txPr>
        <c:crossAx val="106563840"/>
        <c:crosses val="autoZero"/>
        <c:crossBetween val="midCat"/>
      </c:valAx>
      <c:valAx>
        <c:axId val="106563840"/>
        <c:scaling>
          <c:orientation val="minMax"/>
        </c:scaling>
        <c:axPos val="l"/>
        <c:majorGridlines>
          <c:spPr>
            <a:ln w="3175">
              <a:solidFill>
                <a:srgbClr val="000000"/>
              </a:solidFill>
              <a:prstDash val="solid"/>
            </a:ln>
          </c:spPr>
        </c:majorGridlines>
        <c:title>
          <c:tx>
            <c:rich>
              <a:bodyPr/>
              <a:lstStyle/>
              <a:p>
                <a:pPr>
                  <a:defRPr/>
                </a:pPr>
                <a:r>
                  <a:rPr lang="ja-JP"/>
                  <a:t>水中硝酸量</a:t>
                </a:r>
              </a:p>
            </c:rich>
          </c:tx>
          <c:layout>
            <c:manualLayout>
              <c:xMode val="edge"/>
              <c:yMode val="edge"/>
              <c:x val="1.0288086516377548E-2"/>
              <c:y val="0.28975315010964781"/>
            </c:manualLayout>
          </c:layout>
          <c:spPr>
            <a:noFill/>
            <a:ln w="25400">
              <a:noFill/>
            </a:ln>
          </c:spPr>
        </c:title>
        <c:numFmt formatCode="0.00_ " sourceLinked="1"/>
        <c:majorTickMark val="in"/>
        <c:tickLblPos val="nextTo"/>
        <c:spPr>
          <a:ln w="3175">
            <a:solidFill>
              <a:srgbClr val="000000"/>
            </a:solidFill>
            <a:prstDash val="solid"/>
          </a:ln>
        </c:spPr>
        <c:txPr>
          <a:bodyPr rot="0" vert="horz"/>
          <a:lstStyle/>
          <a:p>
            <a:pPr>
              <a:defRPr/>
            </a:pPr>
            <a:endParaRPr lang="ja-JP"/>
          </a:p>
        </c:txPr>
        <c:crossAx val="106561920"/>
        <c:crosses val="autoZero"/>
        <c:crossBetween val="midCat"/>
      </c:valAx>
      <c:spPr>
        <a:no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CFR</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5</cp:revision>
  <dcterms:created xsi:type="dcterms:W3CDTF">2010-07-30T14:10:00Z</dcterms:created>
  <dcterms:modified xsi:type="dcterms:W3CDTF">2010-08-01T04:17:00Z</dcterms:modified>
</cp:coreProperties>
</file>